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2508A" w:rsidRDefault="0072508A">
      <w:pPr>
        <w:pStyle w:val="1"/>
        <w:pBdr>
          <w:bottom w:val="single" w:sz="6" w:space="1" w:color="auto"/>
        </w:pBdr>
        <w:jc w:val="center"/>
        <w:rPr>
          <w:sz w:val="28"/>
          <w:szCs w:val="28"/>
        </w:rPr>
      </w:pPr>
      <w:bookmarkStart w:id="0" w:name="_GoBack"/>
      <w:bookmarkEnd w:id="0"/>
      <w:r>
        <w:rPr>
          <w:sz w:val="28"/>
          <w:szCs w:val="28"/>
        </w:rPr>
        <w:t>Московский Педагогический Государственный Университет</w:t>
      </w:r>
    </w:p>
    <w:p w:rsidR="0072508A" w:rsidRDefault="0072508A">
      <w:pPr>
        <w:rPr>
          <w:sz w:val="32"/>
          <w:szCs w:val="32"/>
        </w:rPr>
      </w:pPr>
    </w:p>
    <w:p w:rsidR="0072508A" w:rsidRDefault="0072508A">
      <w:pPr>
        <w:rPr>
          <w:sz w:val="32"/>
          <w:szCs w:val="32"/>
        </w:rPr>
      </w:pPr>
    </w:p>
    <w:p w:rsidR="0072508A" w:rsidRDefault="0072508A">
      <w:pPr>
        <w:pStyle w:val="3"/>
      </w:pPr>
      <w:r>
        <w:t>Варнавский Евгений, 103 гр</w:t>
      </w:r>
    </w:p>
    <w:p w:rsidR="0072508A" w:rsidRDefault="0072508A">
      <w:pPr>
        <w:rPr>
          <w:sz w:val="36"/>
          <w:szCs w:val="36"/>
        </w:rPr>
      </w:pPr>
    </w:p>
    <w:p w:rsidR="0072508A" w:rsidRDefault="0072508A">
      <w:pPr>
        <w:rPr>
          <w:sz w:val="36"/>
          <w:szCs w:val="36"/>
        </w:rPr>
      </w:pPr>
    </w:p>
    <w:p w:rsidR="0072508A" w:rsidRDefault="0072508A">
      <w:pPr>
        <w:rPr>
          <w:sz w:val="36"/>
          <w:szCs w:val="36"/>
        </w:rPr>
      </w:pPr>
    </w:p>
    <w:p w:rsidR="0072508A" w:rsidRDefault="0072508A">
      <w:pPr>
        <w:rPr>
          <w:sz w:val="36"/>
          <w:szCs w:val="36"/>
        </w:rPr>
      </w:pPr>
    </w:p>
    <w:p w:rsidR="0072508A" w:rsidRDefault="0072508A">
      <w:pPr>
        <w:rPr>
          <w:sz w:val="36"/>
          <w:szCs w:val="36"/>
        </w:rPr>
      </w:pPr>
    </w:p>
    <w:p w:rsidR="0072508A" w:rsidRDefault="0072508A">
      <w:pPr>
        <w:rPr>
          <w:sz w:val="36"/>
          <w:szCs w:val="36"/>
        </w:rPr>
      </w:pPr>
    </w:p>
    <w:p w:rsidR="0072508A" w:rsidRDefault="0072508A">
      <w:pPr>
        <w:pStyle w:val="1"/>
        <w:jc w:val="center"/>
      </w:pPr>
      <w:r>
        <w:t>Доклад по истории социологии на тему:</w:t>
      </w:r>
    </w:p>
    <w:p w:rsidR="0072508A" w:rsidRDefault="0072508A">
      <w:pPr>
        <w:pStyle w:val="1"/>
        <w:jc w:val="center"/>
        <w:rPr>
          <w:sz w:val="36"/>
          <w:szCs w:val="36"/>
        </w:rPr>
      </w:pPr>
      <w:r>
        <w:rPr>
          <w:sz w:val="36"/>
          <w:szCs w:val="36"/>
        </w:rPr>
        <w:t>Фрейдомарксизм Э. Фромма и Г. Маркузе</w:t>
      </w:r>
    </w:p>
    <w:p w:rsidR="0072508A" w:rsidRDefault="0072508A">
      <w:pPr>
        <w:rPr>
          <w:sz w:val="36"/>
          <w:szCs w:val="36"/>
        </w:rPr>
      </w:pPr>
    </w:p>
    <w:p w:rsidR="0072508A" w:rsidRDefault="0072508A">
      <w:pPr>
        <w:rPr>
          <w:b/>
          <w:bCs/>
          <w:sz w:val="36"/>
          <w:szCs w:val="36"/>
        </w:rPr>
      </w:pPr>
    </w:p>
    <w:p w:rsidR="0072508A" w:rsidRDefault="0072508A">
      <w:pPr>
        <w:rPr>
          <w:b/>
          <w:bCs/>
          <w:sz w:val="36"/>
          <w:szCs w:val="36"/>
        </w:rPr>
      </w:pPr>
    </w:p>
    <w:p w:rsidR="0072508A" w:rsidRDefault="0072508A">
      <w:pPr>
        <w:rPr>
          <w:b/>
          <w:bCs/>
          <w:sz w:val="36"/>
          <w:szCs w:val="36"/>
        </w:rPr>
      </w:pPr>
    </w:p>
    <w:p w:rsidR="0072508A" w:rsidRDefault="0072508A">
      <w:pPr>
        <w:rPr>
          <w:b/>
          <w:bCs/>
          <w:sz w:val="36"/>
          <w:szCs w:val="36"/>
        </w:rPr>
      </w:pPr>
    </w:p>
    <w:p w:rsidR="0072508A" w:rsidRDefault="0072508A">
      <w:pPr>
        <w:rPr>
          <w:sz w:val="24"/>
          <w:szCs w:val="24"/>
        </w:rPr>
      </w:pPr>
    </w:p>
    <w:p w:rsidR="0072508A" w:rsidRDefault="0072508A">
      <w:pPr>
        <w:rPr>
          <w:sz w:val="24"/>
          <w:szCs w:val="24"/>
        </w:rPr>
      </w:pPr>
    </w:p>
    <w:p w:rsidR="0072508A" w:rsidRDefault="0072508A">
      <w:pPr>
        <w:rPr>
          <w:sz w:val="24"/>
          <w:szCs w:val="24"/>
        </w:rPr>
      </w:pPr>
    </w:p>
    <w:p w:rsidR="0072508A" w:rsidRDefault="0072508A">
      <w:pPr>
        <w:rPr>
          <w:sz w:val="24"/>
          <w:szCs w:val="24"/>
        </w:rPr>
      </w:pPr>
    </w:p>
    <w:p w:rsidR="0072508A" w:rsidRDefault="0072508A">
      <w:pPr>
        <w:rPr>
          <w:sz w:val="24"/>
          <w:szCs w:val="24"/>
        </w:rPr>
      </w:pPr>
    </w:p>
    <w:p w:rsidR="0072508A" w:rsidRDefault="0072508A">
      <w:pPr>
        <w:rPr>
          <w:sz w:val="24"/>
          <w:szCs w:val="24"/>
        </w:rPr>
      </w:pPr>
    </w:p>
    <w:p w:rsidR="0072508A" w:rsidRDefault="0072508A">
      <w:pPr>
        <w:rPr>
          <w:sz w:val="24"/>
          <w:szCs w:val="24"/>
        </w:rPr>
      </w:pPr>
    </w:p>
    <w:p w:rsidR="0072508A" w:rsidRDefault="0072508A">
      <w:pPr>
        <w:rPr>
          <w:sz w:val="24"/>
          <w:szCs w:val="24"/>
        </w:rPr>
      </w:pPr>
    </w:p>
    <w:p w:rsidR="0072508A" w:rsidRDefault="0072508A">
      <w:pPr>
        <w:rPr>
          <w:sz w:val="24"/>
          <w:szCs w:val="24"/>
        </w:rPr>
      </w:pPr>
    </w:p>
    <w:p w:rsidR="0072508A" w:rsidRDefault="0072508A">
      <w:pPr>
        <w:rPr>
          <w:sz w:val="24"/>
          <w:szCs w:val="24"/>
        </w:rPr>
      </w:pPr>
    </w:p>
    <w:p w:rsidR="0072508A" w:rsidRDefault="0072508A">
      <w:pPr>
        <w:rPr>
          <w:sz w:val="24"/>
          <w:szCs w:val="24"/>
        </w:rPr>
      </w:pPr>
    </w:p>
    <w:p w:rsidR="0072508A" w:rsidRDefault="0072508A">
      <w:pPr>
        <w:rPr>
          <w:sz w:val="24"/>
          <w:szCs w:val="24"/>
        </w:rPr>
      </w:pPr>
    </w:p>
    <w:p w:rsidR="0072508A" w:rsidRDefault="0072508A">
      <w:pPr>
        <w:rPr>
          <w:sz w:val="24"/>
          <w:szCs w:val="24"/>
        </w:rPr>
      </w:pPr>
    </w:p>
    <w:p w:rsidR="0072508A" w:rsidRDefault="0072508A">
      <w:pPr>
        <w:rPr>
          <w:sz w:val="24"/>
          <w:szCs w:val="24"/>
        </w:rPr>
      </w:pPr>
    </w:p>
    <w:p w:rsidR="0072508A" w:rsidRDefault="0072508A">
      <w:pPr>
        <w:rPr>
          <w:sz w:val="24"/>
          <w:szCs w:val="24"/>
        </w:rPr>
      </w:pPr>
    </w:p>
    <w:p w:rsidR="0072508A" w:rsidRDefault="0072508A">
      <w:pPr>
        <w:rPr>
          <w:sz w:val="24"/>
          <w:szCs w:val="24"/>
        </w:rPr>
      </w:pPr>
    </w:p>
    <w:p w:rsidR="0072508A" w:rsidRDefault="0072508A">
      <w:pPr>
        <w:rPr>
          <w:sz w:val="24"/>
          <w:szCs w:val="24"/>
        </w:rPr>
      </w:pPr>
    </w:p>
    <w:p w:rsidR="0072508A" w:rsidRDefault="0072508A">
      <w:pPr>
        <w:rPr>
          <w:sz w:val="24"/>
          <w:szCs w:val="24"/>
        </w:rPr>
      </w:pPr>
    </w:p>
    <w:p w:rsidR="0072508A" w:rsidRDefault="0072508A">
      <w:pPr>
        <w:rPr>
          <w:sz w:val="24"/>
          <w:szCs w:val="24"/>
        </w:rPr>
      </w:pPr>
    </w:p>
    <w:p w:rsidR="0072508A" w:rsidRDefault="0072508A">
      <w:pPr>
        <w:rPr>
          <w:rFonts w:ascii="Times New Roman" w:hAnsi="Times New Roman" w:cs="Times New Roman"/>
          <w:sz w:val="24"/>
          <w:szCs w:val="24"/>
        </w:rPr>
      </w:pPr>
    </w:p>
    <w:p w:rsidR="0072508A" w:rsidRDefault="0072508A">
      <w:pPr>
        <w:pStyle w:val="2"/>
      </w:pPr>
      <w:r>
        <w:rPr>
          <w:rFonts w:ascii="Times New Roman" w:hAnsi="Times New Roman" w:cs="Times New Roman"/>
        </w:rPr>
        <w:t>Москва 2000</w:t>
      </w:r>
    </w:p>
    <w:p w:rsidR="0072508A" w:rsidRDefault="0072508A">
      <w:pPr>
        <w:rPr>
          <w:rFonts w:ascii="Times New Roman" w:hAnsi="Times New Roman" w:cs="Times New Roman"/>
          <w:sz w:val="24"/>
          <w:szCs w:val="24"/>
        </w:rPr>
      </w:pPr>
    </w:p>
    <w:p w:rsidR="0072508A" w:rsidRDefault="0072508A">
      <w:pPr>
        <w:ind w:firstLine="720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br w:type="page"/>
      </w:r>
    </w:p>
    <w:p w:rsidR="0072508A" w:rsidRDefault="0072508A">
      <w:pPr>
        <w:ind w:firstLine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Фрейдомарксизм развивался в рамках франкфуртской школы неомарксизма, и представлял из себя синтез учений Маркса и Фрейда, а, точнее, синтез неофрейдизма и неомарксизма. Осноовоположниками фрейдомарксизма были представители франкфуртской школы Эрик Фромм и Герберт Маркузе.</w:t>
      </w:r>
    </w:p>
    <w:p w:rsidR="0072508A" w:rsidRDefault="0072508A">
      <w:pPr>
        <w:rPr>
          <w:rFonts w:ascii="Times New Roman" w:hAnsi="Times New Roman" w:cs="Times New Roman"/>
          <w:sz w:val="24"/>
          <w:szCs w:val="24"/>
          <w:lang w:val="en-US"/>
        </w:rPr>
      </w:pPr>
    </w:p>
    <w:p w:rsidR="0072508A" w:rsidRDefault="0072508A">
      <w:pPr>
        <w:ind w:firstLine="720"/>
        <w:rPr>
          <w:rFonts w:ascii="Times New Roman" w:hAnsi="Times New Roman" w:cs="Times New Roman"/>
          <w:sz w:val="24"/>
          <w:szCs w:val="24"/>
        </w:rPr>
      </w:pPr>
    </w:p>
    <w:p w:rsidR="0072508A" w:rsidRDefault="0072508A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Маркузе</w:t>
      </w:r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 (Marcuse)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Герберт</w:t>
      </w:r>
      <w:r>
        <w:rPr>
          <w:rFonts w:ascii="Times New Roman" w:hAnsi="Times New Roman" w:cs="Times New Roman"/>
          <w:b/>
          <w:bCs/>
          <w:noProof/>
          <w:sz w:val="24"/>
          <w:szCs w:val="24"/>
        </w:rPr>
        <w:t xml:space="preserve"> (1898-1979)</w:t>
      </w:r>
      <w:r>
        <w:rPr>
          <w:rFonts w:ascii="Times New Roman" w:hAnsi="Times New Roman" w:cs="Times New Roman"/>
          <w:noProof/>
          <w:sz w:val="24"/>
          <w:szCs w:val="24"/>
        </w:rPr>
        <w:t xml:space="preserve"> —</w:t>
      </w:r>
      <w:r>
        <w:rPr>
          <w:rFonts w:ascii="Times New Roman" w:hAnsi="Times New Roman" w:cs="Times New Roman"/>
          <w:sz w:val="24"/>
          <w:szCs w:val="24"/>
        </w:rPr>
        <w:t xml:space="preserve"> немецко-американский философ и социолог, один из виднейших представителей франкфуртской школы неомарксизма. Активно сотрудничал с франкфуртским инститтом социальных исследований, с 1934 жил и работал в США. В 50-е годы</w:t>
      </w:r>
      <w:r>
        <w:rPr>
          <w:rFonts w:ascii="Times New Roman" w:hAnsi="Times New Roman" w:cs="Times New Roman"/>
          <w:noProof/>
          <w:sz w:val="24"/>
          <w:szCs w:val="24"/>
        </w:rPr>
        <w:t xml:space="preserve"> сотрудничал</w:t>
      </w:r>
      <w:r>
        <w:rPr>
          <w:rFonts w:ascii="Times New Roman" w:hAnsi="Times New Roman" w:cs="Times New Roman"/>
          <w:sz w:val="24"/>
          <w:szCs w:val="24"/>
        </w:rPr>
        <w:t xml:space="preserve"> с Русским институтом при Колумбийском и Русским центром при Гарвардском университетах (в качестве эксперта по советскому марксизму) </w:t>
      </w:r>
    </w:p>
    <w:p w:rsidR="0072508A" w:rsidRDefault="0072508A">
      <w:pPr>
        <w:ind w:firstLine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Философско-социологическая эволюция Маркузе протекала под влиянием «левого» немецкого марксизма, истолкованного в духе неогегельянства 20-х годов. В конце 20-х Маркузе занимался проблематикой «историчности», истолковывая в духе собственной версии «хайдеггермарксизма» ранние работы Маркса («К феноменологии исторического материализма»,</w:t>
      </w:r>
      <w:r>
        <w:rPr>
          <w:rFonts w:ascii="Times New Roman" w:hAnsi="Times New Roman" w:cs="Times New Roman"/>
          <w:noProof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и философию Гегеля </w:t>
      </w:r>
    </w:p>
    <w:p w:rsidR="0072508A" w:rsidRDefault="0072508A">
      <w:pPr>
        <w:pStyle w:val="a3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В 50-е годы в связи с общим увлечением «фрейдо-марксистской» версией неофрейдизма, характерным для франкфуртской школы в целом, Маркузе построил леворадикальную версию теории индустриального общества, опираясь на фрейдомарксистские предпосылки. Согласно Маркузе, современное индустриальное, или позднекапиталистическое общество обеспечивает лояльность своих «функционеров» (им же и подавляемых и угнетаемых) тем, что формирует соответствующую ему «структуру влечений», «витальных потребностей», не выходящих за социокультурные рамки этого общества. Это значит, что революция против такого общества могла бы быть успешной лишь в том случае, если бы углубилась до уровня «антропологической структуры» человеческих потребностей так, чтобы социальная революция превратилась в антропологическую, прежде всего сексуальную, поскольку основой всех влечений, в духе Фрейда, считаются сексуальные влечения.</w:t>
      </w:r>
    </w:p>
    <w:p w:rsidR="0072508A" w:rsidRDefault="0072508A">
      <w:pPr>
        <w:ind w:firstLine="720"/>
        <w:rPr>
          <w:rFonts w:ascii="Times New Roman" w:hAnsi="Times New Roman" w:cs="Times New Roman"/>
          <w:i/>
          <w:iCs/>
          <w:sz w:val="24"/>
          <w:szCs w:val="24"/>
        </w:rPr>
      </w:pPr>
    </w:p>
    <w:p w:rsidR="0072508A" w:rsidRDefault="0072508A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Эрик Фромм (1900 – ?)</w:t>
      </w:r>
      <w:r>
        <w:rPr>
          <w:rFonts w:ascii="Times New Roman" w:hAnsi="Times New Roman" w:cs="Times New Roman"/>
          <w:sz w:val="24"/>
          <w:szCs w:val="24"/>
        </w:rPr>
        <w:t xml:space="preserve"> – немецко-американский (как, впрочем, и Маркузе) психолог и социолог, Сотрудник франкфуртского института социальных исследований, с приходом к власти нацизма эмигрировал в США. С 1951—профессор университета в Мехико </w:t>
      </w:r>
    </w:p>
    <w:p w:rsidR="0072508A" w:rsidRDefault="0072508A">
      <w:pPr>
        <w:ind w:firstLine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Фромм отходит от биологизма Фрейда, приближаясь по своим исходным положениям к экзистенциализму. Согласно Фромму, собственно человеческое начинается лишь там, где кончается природное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; </w:t>
      </w:r>
      <w:r>
        <w:rPr>
          <w:rFonts w:ascii="Times New Roman" w:hAnsi="Times New Roman" w:cs="Times New Roman"/>
          <w:sz w:val="24"/>
          <w:szCs w:val="24"/>
        </w:rPr>
        <w:t>оно коренится в сецифике человеческого существования. Основная психическая потребность индивида по Фромму – установить систему отношений к миру и обществу. Двойственность положения человека в мире – как природного так и надприродного существа – порождает основную историческую дихотомию: наряду со стремление к свободе и независимости человека как мыслящего существа, в нем столь же укоренено и стремление к безопасности («бегство от свободы»), которое лишь принимает различные формы в ходе истории. Ставя целью создание целостной концепции человека, Фромм ищет путей к этому в объединении социального и индувидуально-психологического подходов более конкретно – в достижении некоего синтеза учений Маркса и Фрейда. Это осуществляется через социализацию психоанализа с одной стороны, и гуманизацию марксизма с другой. Через господствующий тип характера деятельность индивида направляется в каналы, поддерживающие функционирование данного общества.</w:t>
      </w:r>
    </w:p>
    <w:p w:rsidR="0072508A" w:rsidRDefault="0072508A">
      <w:pPr>
        <w:pStyle w:val="a3"/>
      </w:pPr>
      <w:r>
        <w:rPr>
          <w:rFonts w:ascii="Times New Roman" w:hAnsi="Times New Roman" w:cs="Times New Roman"/>
        </w:rPr>
        <w:t xml:space="preserve">Формы социального характера совпадают у Фромма с различными историческими типами самоотчужденного человека. В работе «Бегство от свободы» Фромм применил свою концепцию к эпохе раннего капитализма, связав первоначальное накопление с накопительским типом характера, соединившим в себе скупость, упорство и педантизм, и эксплуататорским типом. Параллельно с ними на другом общественно полюсе шло формирование рецептивного (пассивного) типа характера. Затем к ним прибавился рыночный тип характера – порождение капитализма 20в. – «общества тотального отчуждения». </w:t>
      </w:r>
    </w:p>
    <w:p w:rsidR="0072508A" w:rsidRDefault="0072508A">
      <w:pPr>
        <w:ind w:firstLine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 отчуждением человека в современном обществе Фромм связывает и формы патологии – невроз в любой форме есть прямой результат отчуждения, и индивидуальная попытка его компенсации, поиск выхода из отчуждения. </w:t>
      </w:r>
    </w:p>
    <w:p w:rsidR="0072508A" w:rsidRDefault="0072508A">
      <w:pPr>
        <w:ind w:firstLine="720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:rsidR="0072508A" w:rsidRDefault="0072508A">
      <w:pPr>
        <w:ind w:firstLine="720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Список использованной литературы:</w:t>
      </w:r>
    </w:p>
    <w:p w:rsidR="0072508A" w:rsidRDefault="0072508A">
      <w:pPr>
        <w:rPr>
          <w:rFonts w:ascii="Times New Roman" w:hAnsi="Times New Roman" w:cs="Times New Roman"/>
          <w:sz w:val="32"/>
          <w:szCs w:val="32"/>
        </w:rPr>
      </w:pPr>
    </w:p>
    <w:p w:rsidR="0072508A" w:rsidRDefault="0072508A">
      <w:pPr>
        <w:tabs>
          <w:tab w:val="left" w:pos="0"/>
        </w:tabs>
        <w:ind w:left="-108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1. История теоретической социологии в 3-х томах, Москва 1997</w:t>
      </w:r>
    </w:p>
    <w:p w:rsidR="0072508A" w:rsidRDefault="0072508A">
      <w:pPr>
        <w:tabs>
          <w:tab w:val="left" w:pos="0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Философская энциклопедия в 5-ти томах, Москва 1960</w:t>
      </w:r>
    </w:p>
    <w:sectPr w:rsidR="0072508A">
      <w:pgSz w:w="12240" w:h="15840"/>
      <w:pgMar w:top="1134" w:right="850" w:bottom="1134" w:left="1701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8A5720"/>
    <w:multiLevelType w:val="hybridMultilevel"/>
    <w:tmpl w:val="6CDA7F5A"/>
    <w:lvl w:ilvl="0" w:tplc="70EEFC52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bordersDoNotSurroundHeader/>
  <w:bordersDoNotSurroundFooter/>
  <w:doNotTrackMoves/>
  <w:doNotTrackFormatting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2D4202"/>
    <w:rsid w:val="000F4B7D"/>
    <w:rsid w:val="0020354B"/>
    <w:rsid w:val="002D4202"/>
    <w:rsid w:val="0072508A"/>
    <w:rsid w:val="009A48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styleId="1">
    <w:name w:val="heading 1"/>
    <w:basedOn w:val="a"/>
    <w:next w:val="a"/>
    <w:qFormat/>
    <w:pPr>
      <w:keepNext/>
      <w:outlineLvl w:val="0"/>
    </w:pPr>
    <w:rPr>
      <w:sz w:val="32"/>
      <w:szCs w:val="32"/>
    </w:rPr>
  </w:style>
  <w:style w:type="paragraph" w:styleId="2">
    <w:name w:val="heading 2"/>
    <w:basedOn w:val="a"/>
    <w:next w:val="a"/>
    <w:qFormat/>
    <w:pPr>
      <w:keepNext/>
      <w:jc w:val="center"/>
      <w:outlineLvl w:val="1"/>
    </w:pPr>
    <w:rPr>
      <w:b/>
      <w:bCs/>
      <w:sz w:val="28"/>
      <w:szCs w:val="28"/>
    </w:rPr>
  </w:style>
  <w:style w:type="paragraph" w:styleId="3">
    <w:name w:val="heading 3"/>
    <w:basedOn w:val="a"/>
    <w:next w:val="a"/>
    <w:qFormat/>
    <w:pPr>
      <w:keepNext/>
      <w:jc w:val="right"/>
      <w:outlineLvl w:val="2"/>
    </w:pPr>
    <w:rPr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semiHidden/>
    <w:pPr>
      <w:ind w:firstLine="720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535</Words>
  <Characters>3838</Characters>
  <Application>Microsoft Office Word</Application>
  <DocSecurity>0</DocSecurity>
  <Lines>103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Московский Педагогический Государственный Университет</vt:lpstr>
    </vt:vector>
  </TitlesOfParts>
  <Company/>
  <LinksUpToDate>false</LinksUpToDate>
  <CharactersWithSpaces>4372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Московский Педагогический Государственный Университет</dc:title>
  <dc:subject/>
  <dc:creator/>
  <cp:keywords/>
  <dc:description/>
  <cp:lastModifiedBy>Alex</cp:lastModifiedBy>
  <cp:revision>2</cp:revision>
  <cp:lastPrinted>2000-03-01T21:26:00Z</cp:lastPrinted>
  <dcterms:created xsi:type="dcterms:W3CDTF">2016-12-18T19:22:00Z</dcterms:created>
  <dcterms:modified xsi:type="dcterms:W3CDTF">2016-12-18T19:22:00Z</dcterms:modified>
</cp:coreProperties>
</file>