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10A3" w:rsidRDefault="00F810A3" w:rsidP="00D31CEE">
      <w:pPr>
        <w:tabs>
          <w:tab w:val="left" w:pos="9072"/>
        </w:tabs>
        <w:spacing w:after="0" w:line="360" w:lineRule="auto"/>
        <w:contextualSpacing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D31CEE" w:rsidRDefault="00D31CEE" w:rsidP="00D31CEE">
      <w:pPr>
        <w:tabs>
          <w:tab w:val="left" w:pos="9072"/>
        </w:tabs>
        <w:spacing w:after="0" w:line="36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2E7E0F">
        <w:rPr>
          <w:rFonts w:ascii="Times New Roman" w:hAnsi="Times New Roman"/>
          <w:sz w:val="28"/>
          <w:szCs w:val="28"/>
        </w:rPr>
        <w:t>Ф</w:t>
      </w:r>
      <w:r>
        <w:rPr>
          <w:rFonts w:ascii="Times New Roman" w:hAnsi="Times New Roman"/>
          <w:sz w:val="28"/>
          <w:szCs w:val="28"/>
        </w:rPr>
        <w:t>едеральное агентство по образованию</w:t>
      </w:r>
    </w:p>
    <w:p w:rsidR="00D31CEE" w:rsidRDefault="00D31CEE" w:rsidP="00D31CEE">
      <w:pPr>
        <w:tabs>
          <w:tab w:val="left" w:pos="9072"/>
        </w:tabs>
        <w:spacing w:after="0" w:line="36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Беловский институт (филиал)</w:t>
      </w:r>
    </w:p>
    <w:p w:rsidR="00D31CEE" w:rsidRDefault="00D31CEE" w:rsidP="00D31CEE">
      <w:pPr>
        <w:tabs>
          <w:tab w:val="left" w:pos="9072"/>
        </w:tabs>
        <w:spacing w:after="0" w:line="36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ГОУ ВПО «Кемеровский государственный университет» </w:t>
      </w:r>
    </w:p>
    <w:p w:rsidR="00D31CEE" w:rsidRPr="00B20B38" w:rsidRDefault="00D31CEE" w:rsidP="00D31CEE">
      <w:pPr>
        <w:tabs>
          <w:tab w:val="left" w:pos="9072"/>
        </w:tabs>
        <w:spacing w:after="0" w:line="36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Кафедра финансы и кредит</w:t>
      </w:r>
    </w:p>
    <w:p w:rsidR="00D31CEE" w:rsidRDefault="00D31CEE" w:rsidP="00D31CEE">
      <w:pPr>
        <w:jc w:val="center"/>
        <w:rPr>
          <w:sz w:val="28"/>
          <w:szCs w:val="28"/>
        </w:rPr>
      </w:pPr>
    </w:p>
    <w:p w:rsidR="00D31CEE" w:rsidRDefault="00D31CEE" w:rsidP="00D31CEE">
      <w:pPr>
        <w:jc w:val="center"/>
        <w:rPr>
          <w:sz w:val="28"/>
          <w:szCs w:val="28"/>
        </w:rPr>
      </w:pPr>
    </w:p>
    <w:p w:rsidR="00D31CEE" w:rsidRDefault="00D31CEE" w:rsidP="00D31CEE">
      <w:pPr>
        <w:jc w:val="center"/>
        <w:rPr>
          <w:sz w:val="28"/>
          <w:szCs w:val="28"/>
        </w:rPr>
      </w:pPr>
    </w:p>
    <w:p w:rsidR="00D31CEE" w:rsidRDefault="00D31CEE" w:rsidP="00D31CEE">
      <w:pPr>
        <w:jc w:val="center"/>
        <w:rPr>
          <w:sz w:val="28"/>
          <w:szCs w:val="28"/>
        </w:rPr>
      </w:pPr>
    </w:p>
    <w:p w:rsidR="00D31CEE" w:rsidRDefault="00D31CEE" w:rsidP="00D31CEE">
      <w:pPr>
        <w:spacing w:after="0" w:line="360" w:lineRule="auto"/>
        <w:jc w:val="center"/>
        <w:rPr>
          <w:sz w:val="28"/>
          <w:szCs w:val="28"/>
        </w:rPr>
      </w:pPr>
    </w:p>
    <w:p w:rsidR="00D31CEE" w:rsidRPr="00B20B38" w:rsidRDefault="00D31CEE" w:rsidP="00D31CE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B20B38">
        <w:rPr>
          <w:rFonts w:ascii="Times New Roman" w:hAnsi="Times New Roman"/>
          <w:sz w:val="28"/>
          <w:szCs w:val="28"/>
        </w:rPr>
        <w:t>Контрольная работа</w:t>
      </w:r>
    </w:p>
    <w:p w:rsidR="00D31CEE" w:rsidRPr="00B20B38" w:rsidRDefault="00D31CEE" w:rsidP="00D31CE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B20B38">
        <w:rPr>
          <w:rFonts w:ascii="Times New Roman" w:hAnsi="Times New Roman"/>
          <w:sz w:val="28"/>
          <w:szCs w:val="28"/>
        </w:rPr>
        <w:t>по дисциплине</w:t>
      </w:r>
    </w:p>
    <w:p w:rsidR="00D31CEE" w:rsidRPr="00B20B38" w:rsidRDefault="00D31CEE" w:rsidP="00D31CE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«Организация деятельности Центрального банка</w:t>
      </w:r>
      <w:r w:rsidRPr="00B20B38">
        <w:rPr>
          <w:rFonts w:ascii="Times New Roman" w:hAnsi="Times New Roman"/>
          <w:sz w:val="28"/>
          <w:szCs w:val="28"/>
        </w:rPr>
        <w:t>»</w:t>
      </w:r>
    </w:p>
    <w:p w:rsidR="00D31CEE" w:rsidRPr="00B20B38" w:rsidRDefault="00D31CEE" w:rsidP="00D31CE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B20B38">
        <w:rPr>
          <w:rFonts w:ascii="Times New Roman" w:hAnsi="Times New Roman"/>
          <w:sz w:val="28"/>
          <w:szCs w:val="28"/>
        </w:rPr>
        <w:t xml:space="preserve">студентки гр. ФК-071 </w:t>
      </w:r>
      <w:r>
        <w:rPr>
          <w:rFonts w:ascii="Times New Roman" w:hAnsi="Times New Roman"/>
          <w:sz w:val="28"/>
          <w:szCs w:val="28"/>
        </w:rPr>
        <w:t>Маркушиной Ю.А.</w:t>
      </w:r>
      <w:r w:rsidRPr="00B20B38">
        <w:rPr>
          <w:rFonts w:ascii="Times New Roman" w:hAnsi="Times New Roman"/>
          <w:sz w:val="28"/>
          <w:szCs w:val="28"/>
        </w:rPr>
        <w:t xml:space="preserve"> </w:t>
      </w:r>
    </w:p>
    <w:p w:rsidR="00D31CEE" w:rsidRPr="00B20B38" w:rsidRDefault="00D31CEE" w:rsidP="00D31CE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D31CEE" w:rsidRDefault="00D31CEE" w:rsidP="00D31CEE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D31CEE" w:rsidRDefault="00D31CEE" w:rsidP="00D31CEE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D31CEE" w:rsidRPr="00B20B38" w:rsidRDefault="00D31CEE" w:rsidP="00D31CEE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D31CEE" w:rsidRPr="00B20B38" w:rsidRDefault="00D31CEE" w:rsidP="00D31CEE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D31CEE" w:rsidRPr="00B20B38" w:rsidRDefault="00D31CEE" w:rsidP="00D31CE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B20B38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Работа сдана: </w:t>
      </w:r>
    </w:p>
    <w:p w:rsidR="00D31CEE" w:rsidRPr="00B20B38" w:rsidRDefault="00D31CEE" w:rsidP="00D31CEE">
      <w:pPr>
        <w:tabs>
          <w:tab w:val="left" w:pos="5580"/>
        </w:tabs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B20B38">
        <w:rPr>
          <w:rFonts w:ascii="Times New Roman" w:hAnsi="Times New Roman"/>
          <w:sz w:val="28"/>
          <w:szCs w:val="28"/>
        </w:rPr>
        <w:t xml:space="preserve">                                                       Работа проверена</w:t>
      </w:r>
      <w:r>
        <w:rPr>
          <w:rFonts w:ascii="Times New Roman" w:hAnsi="Times New Roman"/>
          <w:sz w:val="28"/>
          <w:szCs w:val="28"/>
        </w:rPr>
        <w:t>:</w:t>
      </w:r>
    </w:p>
    <w:p w:rsidR="00D31CEE" w:rsidRDefault="00D31CEE" w:rsidP="00D31CE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B20B38">
        <w:rPr>
          <w:rFonts w:ascii="Times New Roman" w:hAnsi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B20B38">
        <w:rPr>
          <w:rFonts w:ascii="Times New Roman" w:hAnsi="Times New Roman"/>
          <w:sz w:val="28"/>
          <w:szCs w:val="28"/>
        </w:rPr>
        <w:t xml:space="preserve">Рецензент: </w:t>
      </w:r>
      <w:r>
        <w:rPr>
          <w:rFonts w:ascii="Times New Roman" w:hAnsi="Times New Roman"/>
          <w:sz w:val="28"/>
          <w:szCs w:val="28"/>
        </w:rPr>
        <w:t xml:space="preserve">к.э.н., доцент </w:t>
      </w:r>
    </w:p>
    <w:p w:rsidR="00D31CEE" w:rsidRPr="00B20B38" w:rsidRDefault="00D31CEE" w:rsidP="00D31CE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Калачева Е. А</w:t>
      </w:r>
    </w:p>
    <w:p w:rsidR="00D31CEE" w:rsidRPr="00B20B38" w:rsidRDefault="00D31CEE" w:rsidP="00D31CEE">
      <w:pPr>
        <w:tabs>
          <w:tab w:val="left" w:pos="5670"/>
        </w:tabs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D31CEE" w:rsidRDefault="00D31CEE" w:rsidP="00D31CEE">
      <w:pPr>
        <w:tabs>
          <w:tab w:val="left" w:pos="5670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B20B38"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</w:p>
    <w:p w:rsidR="00D31CEE" w:rsidRDefault="00D31CEE" w:rsidP="00D31CEE">
      <w:pPr>
        <w:tabs>
          <w:tab w:val="left" w:pos="5670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D31CEE" w:rsidRPr="00B20B38" w:rsidRDefault="00D31CEE" w:rsidP="00D31CEE">
      <w:pPr>
        <w:tabs>
          <w:tab w:val="left" w:pos="5670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D31CEE" w:rsidRPr="00902DB2" w:rsidRDefault="00D31CEE" w:rsidP="00D31CE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Белово 2010</w:t>
      </w:r>
    </w:p>
    <w:p w:rsidR="0073238F" w:rsidRPr="0038256B" w:rsidRDefault="0038256B" w:rsidP="00FC5249">
      <w:pPr>
        <w:spacing w:after="0" w:line="36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38256B">
        <w:rPr>
          <w:rFonts w:ascii="Times New Roman" w:hAnsi="Times New Roman"/>
          <w:b/>
          <w:sz w:val="28"/>
          <w:szCs w:val="28"/>
        </w:rPr>
        <w:t>Фонд обязательных резервов и его значение для стабильности банковской системы.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В соответствии с Федеральным законом «О Центральном банке Российской Федерации (Банке России)</w:t>
      </w:r>
      <w:r w:rsidR="00FC5249">
        <w:rPr>
          <w:sz w:val="28"/>
          <w:szCs w:val="28"/>
        </w:rPr>
        <w:t>»</w:t>
      </w:r>
      <w:r w:rsidRPr="003D0964">
        <w:rPr>
          <w:sz w:val="28"/>
          <w:szCs w:val="28"/>
        </w:rPr>
        <w:t xml:space="preserve"> Банк России во взаимодействии с Правительством Российской Федерации разрабатывает и проводит денежно-кредитную политику, направленную на защиту и обеспечение устойчивости рубля, применяя методы и инструменты, установленные законом.</w:t>
      </w:r>
    </w:p>
    <w:p w:rsidR="00FC5249" w:rsidRDefault="00FC5249" w:rsidP="00FC5249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«Обязательные резервы (резервные требования) – представляют собой механизм регулирования общей ликвидности банковской системы, используемый для контроля денежных агрегатов посредством снижения денежного мультипликатора. Резервные требования устанавливаются в целях ограничения кредитных возможностей кредитных организаций и поддержания на определенном уровне денежной массы в обращении».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В соответствии со статьей 25 Федерального закона «О банках  и банковской деятельности» кредитная организация обязана выполнять нормативы обязательных резервов,</w:t>
      </w:r>
      <w:r w:rsidR="00FC5249">
        <w:rPr>
          <w:sz w:val="28"/>
          <w:szCs w:val="28"/>
        </w:rPr>
        <w:t xml:space="preserve"> </w:t>
      </w:r>
      <w:r w:rsidRPr="003D0964">
        <w:rPr>
          <w:sz w:val="28"/>
          <w:szCs w:val="28"/>
        </w:rPr>
        <w:t>депонируемых в Банке России.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Обязанность выполнения резервных требований возникает с момента получения лицензии Банка России на право совершения соответствующих банковских операций и является необходимым условием их осуществления. Кредитная организация несет ответственность за соблюдение порядка депонирования обязательных резервов в Банке России. Обязательства кредитной организации перед третьими лицами не являются основанием освобождения от обязанностей по депонированию обязательных резервов в  Банке России.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Порядок депонирования обязательных резервов осуществляется исключительно на основании Положения Банка России «Об обязательных резервах кредитных организаций, депонируемых в Центральном банке Российской  Федерации» от 30 марта 1996 года №37</w:t>
      </w:r>
      <w:r w:rsidR="00FC5249">
        <w:rPr>
          <w:sz w:val="28"/>
          <w:szCs w:val="28"/>
        </w:rPr>
        <w:t xml:space="preserve"> </w:t>
      </w:r>
      <w:r w:rsidRPr="003D0964">
        <w:rPr>
          <w:sz w:val="28"/>
          <w:szCs w:val="28"/>
        </w:rPr>
        <w:t>(далее по тексту Положение Банка России № 37) . При осуществлении депонирования правила расчетов и других банковских операций применяются в случаях, прямо указанных  Положением Банка России № 37.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В соответствии со статьей 38 Федерального закона «О Центральном банке Российской Федерации ( Банке России)» размер обязательных резервов в процентном отношении к обязательствам кредитной организации, а также порядок их депонирования в Банке России устанавливаются Советом директоров Банка России. Нормативы обязательных резервов не могут превышать 20 процентов обязательств кредитной организации.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Порядок депонирования части привлеченных денежных средств, установленный Положением Банка России № 37,</w:t>
      </w:r>
      <w:r w:rsidR="00FC5249">
        <w:rPr>
          <w:sz w:val="28"/>
          <w:szCs w:val="28"/>
        </w:rPr>
        <w:t xml:space="preserve"> </w:t>
      </w:r>
      <w:r w:rsidRPr="003D0964">
        <w:rPr>
          <w:sz w:val="28"/>
          <w:szCs w:val="28"/>
        </w:rPr>
        <w:t>распространяется на все кредитные организации, действующие на территории Российской Федерации на основании лицензии (разрешения) Банка России с правом совершения соответствующих банковских операций.</w:t>
      </w:r>
    </w:p>
    <w:p w:rsidR="00A7564D" w:rsidRPr="003D0964" w:rsidRDefault="00FC5249" w:rsidP="00FC5249">
      <w:pPr>
        <w:pStyle w:val="a5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7564D" w:rsidRPr="003D0964">
        <w:rPr>
          <w:sz w:val="28"/>
          <w:szCs w:val="28"/>
        </w:rPr>
        <w:t>Небанковс</w:t>
      </w:r>
      <w:r w:rsidR="00824232">
        <w:rPr>
          <w:sz w:val="28"/>
          <w:szCs w:val="28"/>
        </w:rPr>
        <w:t xml:space="preserve">кие кредитные организации (НКО) </w:t>
      </w:r>
      <w:r w:rsidR="00A7564D" w:rsidRPr="003D0964">
        <w:rPr>
          <w:sz w:val="28"/>
          <w:szCs w:val="28"/>
        </w:rPr>
        <w:t>осуществляют депонирование части привлеченных денежных средств в порядке, установленном Положением Банка России №</w:t>
      </w:r>
      <w:r>
        <w:rPr>
          <w:sz w:val="28"/>
          <w:szCs w:val="28"/>
        </w:rPr>
        <w:t xml:space="preserve"> </w:t>
      </w:r>
      <w:r w:rsidR="00A7564D" w:rsidRPr="003D0964">
        <w:rPr>
          <w:sz w:val="28"/>
          <w:szCs w:val="28"/>
        </w:rPr>
        <w:t>37, при наличии в лицензии на осуществление банковских операций записи, предусматривающей право размещения привлеченных НКО средств (остатков на открытых банковских счетах) в кредиты участникам расчетов, и наличии в балансе НКО остатков на счетах, входящих в перечень обязательств кредитной организации, подлежащих депонированию в Банке России в соответствии с п.2.1  Положения Банка России №</w:t>
      </w:r>
      <w:r>
        <w:rPr>
          <w:sz w:val="28"/>
          <w:szCs w:val="28"/>
        </w:rPr>
        <w:t xml:space="preserve"> </w:t>
      </w:r>
      <w:r w:rsidR="00A7564D" w:rsidRPr="003D0964">
        <w:rPr>
          <w:sz w:val="28"/>
          <w:szCs w:val="28"/>
        </w:rPr>
        <w:t>37</w:t>
      </w:r>
      <w:r>
        <w:rPr>
          <w:sz w:val="28"/>
          <w:szCs w:val="28"/>
        </w:rPr>
        <w:t>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Регулирование</w:t>
      </w:r>
      <w:r w:rsidR="00FC5249">
        <w:rPr>
          <w:sz w:val="28"/>
          <w:szCs w:val="28"/>
        </w:rPr>
        <w:t xml:space="preserve"> </w:t>
      </w:r>
      <w:r w:rsidRPr="003D0964">
        <w:rPr>
          <w:sz w:val="28"/>
          <w:szCs w:val="28"/>
        </w:rPr>
        <w:t>размера обязательных резервов, подлежащих депонированию кредитными организациями, производится территориальным учреждением (</w:t>
      </w:r>
      <w:r w:rsidR="00FC5249" w:rsidRPr="003D0964">
        <w:rPr>
          <w:sz w:val="28"/>
          <w:szCs w:val="28"/>
        </w:rPr>
        <w:t>расчетно</w:t>
      </w:r>
      <w:r w:rsidR="00FC5249">
        <w:rPr>
          <w:sz w:val="28"/>
          <w:szCs w:val="28"/>
        </w:rPr>
        <w:t xml:space="preserve">-кассовым </w:t>
      </w:r>
      <w:r w:rsidRPr="003D0964">
        <w:rPr>
          <w:sz w:val="28"/>
          <w:szCs w:val="28"/>
        </w:rPr>
        <w:t>центром) Банка России по местонахождению головной кредитной организации в целом по кредитной организации, включая филиалы, находящиеся на территории России.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Если кредитные организации, расположенные на территории Российской Федерации, имеют свои филиалы, открытые в установленном порядке за границей (в странах ближнего зарубежья либо на территориях государств дальнего зарубежья), то указанные филиалы самостоятельно депонируют часть привлеченных ими средств в национальном банке того государства, на территории которого открыт филиал, в порядке и по нормативам обязательных резервов, установленным</w:t>
      </w:r>
      <w:r w:rsidRPr="003D0964">
        <w:rPr>
          <w:sz w:val="28"/>
          <w:szCs w:val="28"/>
        </w:rPr>
        <w:tab/>
        <w:t xml:space="preserve"> национальным банком соответствующего государства. При этом кредитная организация представляет в территориальное учреждение (расчетно-кассовый центр) Банка России документ, подтверждающий факт депонирования филиалом кредитной организации обязательных резервов со стороны национального банка этого государства, если такое подтверждение предоставляется национальным банком страны местонахождения филиала.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В этом  случае кредитная организация, расположенная на территории Российской Федерации, представляет в соответствующее территориальное учреждение (расчетно-кассовый центр) Банка России, кроме сводного баланса в целом по кредитной организации, включая все ее филиалы, также баланс без включения в него филиалов, расположенных на территории зарубежных государств.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Если зарубежный филиал кредитной организации</w:t>
      </w:r>
      <w:r w:rsidR="00FC5249">
        <w:rPr>
          <w:sz w:val="28"/>
          <w:szCs w:val="28"/>
        </w:rPr>
        <w:t xml:space="preserve"> </w:t>
      </w:r>
      <w:r w:rsidRPr="003D0964">
        <w:rPr>
          <w:sz w:val="28"/>
          <w:szCs w:val="28"/>
        </w:rPr>
        <w:t>Российской Федерации в с</w:t>
      </w:r>
      <w:r w:rsidR="00824232">
        <w:rPr>
          <w:sz w:val="28"/>
          <w:szCs w:val="28"/>
        </w:rPr>
        <w:t xml:space="preserve">оответствии с законодательством </w:t>
      </w:r>
      <w:r w:rsidRPr="003D0964">
        <w:rPr>
          <w:sz w:val="28"/>
          <w:szCs w:val="28"/>
        </w:rPr>
        <w:t>государства местонахождения филиала не депонирует обязательные резервы в национальном банке этого государства, кредитная организация представляет Расчет регулирования размера обязательных резервов, депонируемых в Банке России (далее по тексту</w:t>
      </w:r>
      <w:r w:rsidR="00FC5249">
        <w:rPr>
          <w:sz w:val="28"/>
          <w:szCs w:val="28"/>
        </w:rPr>
        <w:t xml:space="preserve"> </w:t>
      </w:r>
      <w:r w:rsidRPr="003D0964">
        <w:rPr>
          <w:sz w:val="28"/>
          <w:szCs w:val="28"/>
        </w:rPr>
        <w:t>-Расчет), по данным сводного баланса в целом по кредитной организации, включая все ее филиалы (в т.ч. расположенные на территории зарубежных государств).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Регулирование размера обязательных резервов, подлежащих депонированию кредитной организацией, производится территориальным учреждением (расчетно-кассовым центром) Банка России ежемесячно (по состоянию на 1 число месяца, следующего за отчетным) путем сверки сумм фактически внесенных кредитной организацией средств и подлежащих внесению из остатков на счетах по учету обязательств кредитной организации, установленных п. 2.1 Положения Банка России №</w:t>
      </w:r>
      <w:r w:rsidR="00824232">
        <w:rPr>
          <w:sz w:val="28"/>
          <w:szCs w:val="28"/>
        </w:rPr>
        <w:t xml:space="preserve"> </w:t>
      </w:r>
      <w:r w:rsidRPr="003D0964">
        <w:rPr>
          <w:sz w:val="28"/>
          <w:szCs w:val="28"/>
        </w:rPr>
        <w:t>37 , и действующих нормативов обязательных резервов.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Кредитная организация, не имеющая в своем составе филиалов, представляет Расчет на 1 число месяца, следующего за отчетным, и другие документы, установленные Положением Банка России №</w:t>
      </w:r>
      <w:r w:rsidR="00824232">
        <w:rPr>
          <w:sz w:val="28"/>
          <w:szCs w:val="28"/>
        </w:rPr>
        <w:t xml:space="preserve"> </w:t>
      </w:r>
      <w:r w:rsidRPr="003D0964">
        <w:rPr>
          <w:sz w:val="28"/>
          <w:szCs w:val="28"/>
        </w:rPr>
        <w:t>37, соответствующему территориальному учреждению (расчетно-кассовому центру) Банка России в третий рабочий день месяца, следующего за отчетным, кредитная организация, имеющая филиалы, - в четвертый рабочий день месяца, следующего за отчетным.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Регулирование размера обязательных резервов, подлежащих депонированию кредитной организацией за декабрь отчетного года (по состоянию на 1 января года. Следующего за отчетным), производится территориальным учреждением ( расчетно-кассовым центром) Банка России дважды. При этом кредитная организация представляет Расчет и другие необходимые документы в выше указанный  срок, и повторно в срок, установленный Банком России кредитным организациям для предоставления годового бухгалтерского отчета.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На основании представленного в составе годового бухгалтерского отчета бухгалтерского баланса и Расчета территориального учреждения (расчетно-кассовый центр) Банка России производит перерасчет обязательных резервов кредитной организации в порядке, установленном Положением Банка России №37.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Исходя из целей денежно-кредитной политики на основании решения Совета директоров Банка России</w:t>
      </w:r>
      <w:r w:rsidR="00F970C2">
        <w:rPr>
          <w:sz w:val="28"/>
          <w:szCs w:val="28"/>
        </w:rPr>
        <w:t>,</w:t>
      </w:r>
      <w:r w:rsidRPr="003D0964">
        <w:rPr>
          <w:sz w:val="28"/>
          <w:szCs w:val="28"/>
        </w:rPr>
        <w:t xml:space="preserve"> Банк России вправе проводить регулирование размера обязательных резервов, подлежащих депонированию кредитными организациями, на внутримесячные даты (внеочередное регулирование размера обязательных резервов).</w:t>
      </w:r>
    </w:p>
    <w:p w:rsidR="00A7564D" w:rsidRPr="003D0964" w:rsidRDefault="00A7564D" w:rsidP="00FC5249">
      <w:pPr>
        <w:pStyle w:val="a5"/>
        <w:ind w:firstLine="567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Покрытие обязательных резервов различными видами приносящих доход активами не допускается.</w:t>
      </w:r>
    </w:p>
    <w:p w:rsidR="00A7564D" w:rsidRPr="003D0964" w:rsidRDefault="00A7564D" w:rsidP="00FC5249">
      <w:pPr>
        <w:pStyle w:val="ConsNormal"/>
        <w:widowControl/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D0964">
        <w:rPr>
          <w:rFonts w:ascii="Times New Roman" w:hAnsi="Times New Roman"/>
          <w:sz w:val="28"/>
          <w:szCs w:val="28"/>
        </w:rPr>
        <w:t xml:space="preserve">На обязательные резервы, депонированные кредитными организациями в Банке России, проценты не начисляются. 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Нормы обязательных резервов определяются в процентном отношении к соответствующим статьям пассивов и активов банка.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Существует дифференци</w:t>
      </w:r>
      <w:r w:rsidR="00AC3AEA">
        <w:rPr>
          <w:rFonts w:ascii="Times New Roman" w:hAnsi="Times New Roman"/>
          <w:sz w:val="28"/>
          <w:szCs w:val="28"/>
        </w:rPr>
        <w:t>аци</w:t>
      </w:r>
      <w:r w:rsidRPr="00AC3AEA">
        <w:rPr>
          <w:rFonts w:ascii="Times New Roman" w:hAnsi="Times New Roman"/>
          <w:sz w:val="28"/>
          <w:szCs w:val="28"/>
        </w:rPr>
        <w:t xml:space="preserve">я норм в зависимости от: </w:t>
      </w:r>
    </w:p>
    <w:p w:rsidR="006C137D" w:rsidRPr="00AC3AEA" w:rsidRDefault="006C137D" w:rsidP="00AC3AEA">
      <w:pPr>
        <w:pStyle w:val="a7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срока деятельности; </w:t>
      </w:r>
    </w:p>
    <w:p w:rsidR="006C137D" w:rsidRPr="00AC3AEA" w:rsidRDefault="006C137D" w:rsidP="00AC3AEA">
      <w:pPr>
        <w:pStyle w:val="a7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величины пассивов и активов банка; </w:t>
      </w:r>
    </w:p>
    <w:p w:rsidR="006C137D" w:rsidRPr="00AC3AEA" w:rsidRDefault="006C137D" w:rsidP="00AC3AEA">
      <w:pPr>
        <w:pStyle w:val="a7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видов и размеров привлекаемых депозитов; </w:t>
      </w:r>
    </w:p>
    <w:p w:rsidR="006C137D" w:rsidRPr="00AC3AEA" w:rsidRDefault="006C137D" w:rsidP="00AC3AEA">
      <w:pPr>
        <w:pStyle w:val="a7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гражданства вкладчика; </w:t>
      </w:r>
    </w:p>
    <w:p w:rsidR="006C137D" w:rsidRPr="00AC3AEA" w:rsidRDefault="006C137D" w:rsidP="00AC3AEA">
      <w:pPr>
        <w:pStyle w:val="a7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региона деятельности банка. 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Избирательный подход к нормам обязательного резервирования - попытка Центрального банка стимулировать или ограничить резервы тех или иных видов депозитных операций коммерческих банков.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Влияние обязательных резервов на экономику опосредовано.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Установление обязательных резервов по пассивным операциям коммерческих банков ведет к снижению размера выдаваемых ссуд. Ресурсы удорожаются, если банк не намерен сокращать суммарный объем активно кредитных операций и следствие чего - рост процентных ставок по активным операциям и сокращение объемов кредитов. Косвенный метод менее жесткий, так как создает прямую связь между динамикой потребности банка в деньгах Центрального банка (централизованные и иные виды кредитов) и созданием денежной массы, что позволяет сглаживать колебания процентных ставок по ежедневным ссудам при обязательстве банков держать определенный среднемесячный остаток кассовых резервов в Центральном банке.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Установление обязательных резервов по активам - кредитам означает, что кредитные ограничения - самая жесткая форма воздействия на кредит (снижение деловой активности, ухудшение функционирования банковской системы, препятствующее развитию конкуренции в банковском деле), метод количественных ограничений, наиболее эффективное антиинфляционное средство.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По другим активам - создаются инвестиции в ценные бумаги, формируются инвестиционные требования и портфельные ограничения (обязательство держать часть суммы денежных активов, либо часть их прироста, за определенный период времени). Часто депозиты коммерческих банков в Центральном банке воспринимаются как их обязательные резервы.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Круг проводимых по резервным счетам операций широк и не однозначен:</w:t>
      </w:r>
    </w:p>
    <w:p w:rsidR="006C137D" w:rsidRPr="00AC3AEA" w:rsidRDefault="006C137D" w:rsidP="00AC3AEA">
      <w:pPr>
        <w:pStyle w:val="a7"/>
        <w:numPr>
          <w:ilvl w:val="0"/>
          <w:numId w:val="5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зачисление денег производится учреждениями Центрального банка по поручениям банков; </w:t>
      </w:r>
    </w:p>
    <w:p w:rsidR="006C137D" w:rsidRPr="00AC3AEA" w:rsidRDefault="006C137D" w:rsidP="00AC3AEA">
      <w:pPr>
        <w:pStyle w:val="a7"/>
        <w:numPr>
          <w:ilvl w:val="0"/>
          <w:numId w:val="5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списание средств в безакцептном порядке не разрешается; </w:t>
      </w:r>
    </w:p>
    <w:p w:rsidR="006C137D" w:rsidRPr="00AC3AEA" w:rsidRDefault="006C137D" w:rsidP="00AC3AEA">
      <w:pPr>
        <w:pStyle w:val="a7"/>
        <w:numPr>
          <w:ilvl w:val="0"/>
          <w:numId w:val="5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обращение взыскания на остаток в бесспорном порядке возможно лишь при наличии решения судебного органа; </w:t>
      </w:r>
    </w:p>
    <w:p w:rsidR="006C137D" w:rsidRPr="00AC3AEA" w:rsidRDefault="006C137D" w:rsidP="00AC3AEA">
      <w:pPr>
        <w:pStyle w:val="a7"/>
        <w:numPr>
          <w:ilvl w:val="0"/>
          <w:numId w:val="5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в дни регулирования должны иметься необходимые обязательные резервы для поддержания банками остатков средств; </w:t>
      </w:r>
    </w:p>
    <w:p w:rsidR="006C137D" w:rsidRPr="00AC3AEA" w:rsidRDefault="006C137D" w:rsidP="00AC3AEA">
      <w:pPr>
        <w:pStyle w:val="a7"/>
        <w:numPr>
          <w:ilvl w:val="0"/>
          <w:numId w:val="5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размер остатков постоянно колеблется в связи с осуществлением расчетов и переводом денег, особенно с развитием систем электронных переводов и электронного клиринга, так что трудно прогнозировать объем депозитов на конец операционного дня; </w:t>
      </w:r>
    </w:p>
    <w:p w:rsidR="006C137D" w:rsidRPr="00AC3AEA" w:rsidRDefault="006C137D" w:rsidP="00AC3AEA">
      <w:pPr>
        <w:pStyle w:val="a7"/>
        <w:numPr>
          <w:ilvl w:val="0"/>
          <w:numId w:val="5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необходимость системы корректировки абсолютных сумм обязательных резервов при непрерывном оттоке и притоке средств на депозитные счета в банке; </w:t>
      </w:r>
    </w:p>
    <w:p w:rsidR="006C137D" w:rsidRPr="00AC3AEA" w:rsidRDefault="006C137D" w:rsidP="00AC3AEA">
      <w:pPr>
        <w:pStyle w:val="a7"/>
        <w:numPr>
          <w:ilvl w:val="0"/>
          <w:numId w:val="5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стремление банков свести к минимуму свободные и добровольные резервы, бездоходные активы и прибыльно разместить высвободившиеся ресурсы (при наличии большой филиальной сети возникают дополнительные трудности в оперативной обработке информации и принятии решения для управления резервами). 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Резервные требования выполняются банками на базе расчетного периода в прошлом - величина временного интервала между расчетным периодом и периодом хранения резервов.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Чем больше интервал, тем слабее связь реальной величины резервов с состоянием денежно-кредитной сферы в данный момент и тем меньше эффективность регулирующих мер Центрального банка, особенно в краткосрочном периоде.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Меры по снижению бремени банков по постоянному поддержанию необходимого уровня минимальных резервов, расширению монетарной базы предполагают: снижение норм, расширение полномочий Центрального банка в этой области регулирования, расширение базы резервных требований, категорий кредитных институтов, круга денежных активов (так как их использование в качестве ценных бумаг выгодно банкам).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Последствия снижения резервных требований:</w:t>
      </w:r>
    </w:p>
    <w:p w:rsidR="006C137D" w:rsidRPr="00AC3AEA" w:rsidRDefault="006C137D" w:rsidP="00AC3AEA">
      <w:pPr>
        <w:pStyle w:val="a7"/>
        <w:numPr>
          <w:ilvl w:val="0"/>
          <w:numId w:val="3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ослабление контроля Центрального банка за денежной массой, так как он не может эффективно влиять на источник данного вида резервов; </w:t>
      </w:r>
    </w:p>
    <w:p w:rsidR="006C137D" w:rsidRPr="00AC3AEA" w:rsidRDefault="006C137D" w:rsidP="00AC3AEA">
      <w:pPr>
        <w:pStyle w:val="a7"/>
        <w:numPr>
          <w:ilvl w:val="0"/>
          <w:numId w:val="3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ухудшение потенциала ликвидности банка, поскольку происходит замещение более ликвидных денежных резервов менее ликвидными, искусственное уменьшение денежной базы; </w:t>
      </w:r>
    </w:p>
    <w:p w:rsidR="006C137D" w:rsidRPr="00AC3AEA" w:rsidRDefault="006C137D" w:rsidP="00AC3AEA">
      <w:pPr>
        <w:pStyle w:val="a7"/>
        <w:numPr>
          <w:ilvl w:val="0"/>
          <w:numId w:val="3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усиление взаимосвязи резервной и процентной политики Центрального банка, введение штрафов за невыполнение норм обязательных резервов на базе учетной процентной ставки Центрального банка; </w:t>
      </w:r>
    </w:p>
    <w:p w:rsidR="006C137D" w:rsidRPr="00AC3AEA" w:rsidRDefault="006C137D" w:rsidP="00AC3AEA">
      <w:pPr>
        <w:pStyle w:val="a7"/>
        <w:numPr>
          <w:ilvl w:val="0"/>
          <w:numId w:val="3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использование депозитного процента в качестве определенного экономического стимулятора, побуждающего банки выполнять резервные требования. 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Выплата процентов по обязательным резервам предполагает:</w:t>
      </w:r>
    </w:p>
    <w:p w:rsidR="006C137D" w:rsidRPr="00AC3AEA" w:rsidRDefault="006C137D" w:rsidP="00AC3AEA">
      <w:pPr>
        <w:pStyle w:val="a7"/>
        <w:numPr>
          <w:ilvl w:val="0"/>
          <w:numId w:val="4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уменьшение стремления банков уклоняться от выполнения резервных требований; </w:t>
      </w:r>
    </w:p>
    <w:p w:rsidR="006C137D" w:rsidRPr="00AC3AEA" w:rsidRDefault="006C137D" w:rsidP="00AC3AEA">
      <w:pPr>
        <w:pStyle w:val="a7"/>
        <w:numPr>
          <w:ilvl w:val="0"/>
          <w:numId w:val="4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улучшение возможности контроля Центрального банка за денежной массой; </w:t>
      </w:r>
    </w:p>
    <w:p w:rsidR="006C137D" w:rsidRPr="00AC3AEA" w:rsidRDefault="006C137D" w:rsidP="00AC3AEA">
      <w:pPr>
        <w:pStyle w:val="a7"/>
        <w:numPr>
          <w:ilvl w:val="0"/>
          <w:numId w:val="4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уменьшение искажения в размещении ресурсов; </w:t>
      </w:r>
    </w:p>
    <w:p w:rsidR="006C137D" w:rsidRPr="00AC3AEA" w:rsidRDefault="006C137D" w:rsidP="00AC3AEA">
      <w:pPr>
        <w:pStyle w:val="a7"/>
        <w:numPr>
          <w:ilvl w:val="0"/>
          <w:numId w:val="4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получение банками возможности выплатить своим клиентам высокие депозитные проценты; </w:t>
      </w:r>
    </w:p>
    <w:p w:rsidR="006C137D" w:rsidRPr="00AC3AEA" w:rsidRDefault="006C137D" w:rsidP="00AC3AEA">
      <w:pPr>
        <w:pStyle w:val="a7"/>
        <w:numPr>
          <w:ilvl w:val="0"/>
          <w:numId w:val="4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превращение резервных требований из метода краткосрочного воздействия в метод долгосрочный; </w:t>
      </w:r>
    </w:p>
    <w:p w:rsidR="006C137D" w:rsidRPr="00AC3AEA" w:rsidRDefault="006C137D" w:rsidP="00AC3AEA">
      <w:pPr>
        <w:pStyle w:val="a7"/>
        <w:numPr>
          <w:ilvl w:val="0"/>
          <w:numId w:val="4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создание благоприятных условий для эффективного использования более гибких инструментов; </w:t>
      </w:r>
    </w:p>
    <w:p w:rsidR="006C137D" w:rsidRPr="00AC3AEA" w:rsidRDefault="006C137D" w:rsidP="00AC3AEA">
      <w:pPr>
        <w:pStyle w:val="a7"/>
        <w:numPr>
          <w:ilvl w:val="0"/>
          <w:numId w:val="4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приобретение векселей Центрального банка банками с последующим зачетом суммы произведенных финансовых инвестиций в счет установленных минимальных резервов. 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Частые применения обязательных резервов оказывают дестабилизирующее влияние и без предварительного предупреждения. У банков усиливаются стимулы к накоплению избыточных резервов и внедрению депозитов, не подпадающих под действие норм обязательных резервов. Денежная масса может стать менее чувствительной к изменениям резервных требований, а связь резервных требований с конечными целями денежно-кредитной политики ослабляется.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Используя резервные требования как экономический стимулятор процессов формирования денежных сбережений (накоплений), Центральный банк пытается заставить банки избирательно привлекать денежные вклады, по которым обязательные резервы ниже или отсутствуют.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Результатом уменьшения сумм депозитов банков на корреспондентских счетах в Центральном банке становится падение удельного веса депозитов в денежной массе. Ресурсы на корреспондентском счете в Центральном банке используются для ведения межбанковских клиринговых расчетов, происходит снижение значения средств (в качестве резервных требований) как источника рефинансирования банков.</w:t>
      </w:r>
    </w:p>
    <w:p w:rsidR="006C137D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Снижение эффективности обязательных резервов обусловлено следующими факторами: дерегулирование финансово-кредитной и валютной сфер, отмена или ослабление валютного контроля, отказ от использования методов прямого регулирования, кредитные и инвестиционные ограничения, селективный контроль над отдельными видами банковского кредита, потолков процентных ставок, снятие запрета на различные виды деятельности в сфере финансовых услуг, облегчение для иностранных кредитно-финансовых учреждений присутствия на внутреннем финансовом рынке, расширение арсенала официально разрешенных финансовых инструментов (см. табл. 1).</w:t>
      </w:r>
    </w:p>
    <w:p w:rsidR="006B48F0" w:rsidRDefault="006B48F0" w:rsidP="006B48F0">
      <w:pPr>
        <w:spacing w:after="0" w:line="36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1</w:t>
      </w:r>
    </w:p>
    <w:p w:rsidR="006B48F0" w:rsidRPr="00AC3AEA" w:rsidRDefault="006B48F0" w:rsidP="006B48F0">
      <w:pPr>
        <w:spacing w:after="0" w:line="36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Нормы обязательных резервов ЦБ РФ, %</w:t>
      </w:r>
    </w:p>
    <w:p w:rsidR="006C137D" w:rsidRPr="00AC3AEA" w:rsidRDefault="00347FE8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36.5pt;height:181.5pt;visibility:visible">
            <v:imagedata r:id="rId8" o:title="" croptop="7013f"/>
          </v:shape>
        </w:pic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Резервные требования - неотъемлемый элемент денежной базы денег Центрального банка, это фактор обеспечения стабильного спроса на кредитные ресурсы в рамках рыночного регулирования, составная часть кредитного контроля, собственно контроль над денежным спросом, регулирование депозитной эмиссии и совокупной денежной массы, своеобразный налог на банки, поскольку имеется неначисление процентов.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Уменьшение средней величины процента нарушает процесс аккумуляции средств, и ресурсы направляются мимо банков, что позволяет Центральному банку размещать обязательные резервы в приносящие проценты ценные бумаги, вследствие чего происходит: </w:t>
      </w:r>
    </w:p>
    <w:p w:rsidR="006C137D" w:rsidRPr="00AC3AEA" w:rsidRDefault="006C137D" w:rsidP="00AC3AEA">
      <w:pPr>
        <w:pStyle w:val="a7"/>
        <w:numPr>
          <w:ilvl w:val="0"/>
          <w:numId w:val="7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ограничение темпов роста денежной массы; </w:t>
      </w:r>
    </w:p>
    <w:p w:rsidR="006C137D" w:rsidRPr="00AC3AEA" w:rsidRDefault="006C137D" w:rsidP="00AC3AEA">
      <w:pPr>
        <w:pStyle w:val="a7"/>
        <w:numPr>
          <w:ilvl w:val="0"/>
          <w:numId w:val="7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изъятие избыточных свободных средств банков из денежной сферы; </w:t>
      </w:r>
    </w:p>
    <w:p w:rsidR="006C137D" w:rsidRPr="00AC3AEA" w:rsidRDefault="006C137D" w:rsidP="00AC3AEA">
      <w:pPr>
        <w:pStyle w:val="a7"/>
        <w:numPr>
          <w:ilvl w:val="0"/>
          <w:numId w:val="7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формирование основы прогнозирования и регулирования, отслеживания объема и динамики денежной массы и ее отдельных компонентов; </w:t>
      </w:r>
    </w:p>
    <w:p w:rsidR="006C137D" w:rsidRPr="00AC3AEA" w:rsidRDefault="006C137D" w:rsidP="00AC3AEA">
      <w:pPr>
        <w:pStyle w:val="a7"/>
        <w:numPr>
          <w:ilvl w:val="0"/>
          <w:numId w:val="7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формирование жесткой связи между денежной базой и денежной массой; </w:t>
      </w:r>
    </w:p>
    <w:p w:rsidR="006C137D" w:rsidRPr="00AC3AEA" w:rsidRDefault="006C137D" w:rsidP="00AC3AEA">
      <w:pPr>
        <w:pStyle w:val="a7"/>
        <w:numPr>
          <w:ilvl w:val="0"/>
          <w:numId w:val="7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создание инструмента регулирования кредитной деятельности, эмиссионной активности, постоянного уровня ликвидности банков (а не просто быть фондом ликвидности). 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Считается, что резервные требования являются грубым инструментом, их механизм плохо приспособлен для краткосрочного регулирования ликвидности, осуществляется в одностороннем порядке Центральным банком. </w: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По мнению Центрального банка, обязательные резервы по своей экономической сущности являются инструментом, призванным ограничить кредитные возможности банков. Такая позиция оправдана в странах, у которых имеется избыточная денежная масса и устойчивая платежеспособная банковская система. Часто территориальные управления ЦБ не принимают во внимание никаких объективных причин временного недовзноса и не имеют полномочий на предоставление кратковременных рассрочек по платежам в ФОР. Даже при резком отливе вкладов - до 15% валюты баланса Центральный банк не возвращает средства из ФОР, чтобы банки могли выдавать деньги вкладчикам, а разрешает производить лишь промежуточные расчеты ФОР, причем не за последний критический период отлива вкладов, а за целый месяц, включая время, когда не было массового изъятия средств. Одновременно требует, чтобы платежи производились со всех сумм, включая просроченные обязательства. При таком методе банк не может рассчитаться с вкладчиками, и у него появляется недовзнос.</w:t>
      </w:r>
    </w:p>
    <w:p w:rsidR="006C137D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 xml:space="preserve">Несовершенство механизма депонирования средств проявилось 11.01.2000 г., когда Центральный банк принял внезапное, по мнению банковского сообщества, решение о значительном повышении взносов. Новый норматив вводился с 1 января и расчет производился за декабрь. Дополнительные платежи за декабрь </w:t>
      </w:r>
      <w:smartTag w:uri="urn:schemas-microsoft-com:office:smarttags" w:element="metricconverter">
        <w:smartTagPr>
          <w:attr w:name="ProductID" w:val="1999 г"/>
        </w:smartTagPr>
        <w:r w:rsidRPr="00AC3AEA">
          <w:rPr>
            <w:rFonts w:ascii="Times New Roman" w:hAnsi="Times New Roman"/>
            <w:sz w:val="28"/>
            <w:szCs w:val="28"/>
          </w:rPr>
          <w:t>1999 г</w:t>
        </w:r>
      </w:smartTag>
      <w:r w:rsidRPr="00AC3AEA">
        <w:rPr>
          <w:rFonts w:ascii="Times New Roman" w:hAnsi="Times New Roman"/>
          <w:sz w:val="28"/>
          <w:szCs w:val="28"/>
        </w:rPr>
        <w:t>. составили 17-20 млрд</w:t>
      </w:r>
      <w:r w:rsidR="008B3A47">
        <w:rPr>
          <w:rFonts w:ascii="Times New Roman" w:hAnsi="Times New Roman"/>
          <w:sz w:val="28"/>
          <w:szCs w:val="28"/>
        </w:rPr>
        <w:t>.</w:t>
      </w:r>
      <w:r w:rsidRPr="00AC3AEA">
        <w:rPr>
          <w:rFonts w:ascii="Times New Roman" w:hAnsi="Times New Roman"/>
          <w:sz w:val="28"/>
          <w:szCs w:val="28"/>
        </w:rPr>
        <w:t xml:space="preserve"> руб. За привлекаемые средства банки уплачивали значительные суммы кредиторам, а ЦБ изымал их бесплатно (см. табл. 2).</w:t>
      </w:r>
    </w:p>
    <w:p w:rsidR="008B3A47" w:rsidRDefault="008B3A47" w:rsidP="008B3A47">
      <w:pPr>
        <w:spacing w:after="0" w:line="36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2</w:t>
      </w:r>
    </w:p>
    <w:p w:rsidR="008B3A47" w:rsidRPr="00AC3AEA" w:rsidRDefault="008B3A47" w:rsidP="008B3A47">
      <w:pPr>
        <w:spacing w:after="0" w:line="36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Динамика изменения норм обязательных резервов ЦБ РФ, %</w:t>
      </w:r>
    </w:p>
    <w:p w:rsidR="006C137D" w:rsidRPr="00AC3AEA" w:rsidRDefault="00347FE8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2" o:spid="_x0000_i1026" type="#_x0000_t75" style="width:6in;height:131.25pt;visibility:visible">
            <v:imagedata r:id="rId9" o:title="" croptop="7904f"/>
          </v:shape>
        </w:pict>
      </w:r>
    </w:p>
    <w:p w:rsidR="006C137D" w:rsidRPr="00AC3AEA" w:rsidRDefault="006C137D" w:rsidP="00AC3AE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3AEA">
        <w:rPr>
          <w:rFonts w:ascii="Times New Roman" w:hAnsi="Times New Roman"/>
          <w:sz w:val="28"/>
          <w:szCs w:val="28"/>
        </w:rPr>
        <w:t>Главным показателем для повышения нормативов является увеличение остатков на счетах. Но этот показатель не выражает экономического существа вопроса - наличие избыточной денежной массы и ликвидности. В нем лишь проявляется действие ряда временных факторов, вследствие которых при общей недостаточности денежной массы у банков увеличиваются средства на их счетах в Центральном банке. Увеличение остатков средств на счетах произошло вследствие сокращения кредитных операций и ряда других обстоятельств. Остатки средств на корр. счетах составляют примерно однодневную сумму денежных расчетов в условиях, когда основные платежи - 75-80% осуществляются в неденежной форме. Средства бюджета и бюджетных организаций, которые раньше банками использовались как кредитные ресурсы, теперь находятся на счетах Центрального банка. Средства, зачисленные в ФОР, являются недоступными для банков даже для кратковременного использования на погашение просроченной задолженности по обязательствам перед клиентами, так как Центральный банк возвращает их только при отзыве лицензии.</w:t>
      </w:r>
    </w:p>
    <w:p w:rsidR="006C137D" w:rsidRDefault="006C137D" w:rsidP="00FC5249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20528" w:rsidRDefault="00720528" w:rsidP="00FC5249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C5249" w:rsidRPr="003D0964" w:rsidRDefault="00FC5249" w:rsidP="00FC5249">
      <w:pPr>
        <w:pStyle w:val="1"/>
        <w:ind w:firstLine="567"/>
        <w:jc w:val="center"/>
        <w:rPr>
          <w:rFonts w:ascii="Times New Roman" w:hAnsi="Times New Roman" w:cs="Times New Roman"/>
        </w:rPr>
      </w:pPr>
      <w:bookmarkStart w:id="1" w:name="_Toc32220728"/>
      <w:r w:rsidRPr="003D0964">
        <w:rPr>
          <w:rFonts w:ascii="Times New Roman" w:hAnsi="Times New Roman" w:cs="Times New Roman"/>
        </w:rPr>
        <w:t>Литература</w:t>
      </w:r>
      <w:bookmarkEnd w:id="1"/>
    </w:p>
    <w:p w:rsidR="00A15997" w:rsidRPr="00A15997" w:rsidRDefault="00A15997" w:rsidP="00A15997">
      <w:pPr>
        <w:pStyle w:val="a5"/>
        <w:numPr>
          <w:ilvl w:val="0"/>
          <w:numId w:val="8"/>
        </w:numPr>
        <w:ind w:left="426"/>
        <w:contextualSpacing/>
        <w:jc w:val="both"/>
        <w:rPr>
          <w:sz w:val="28"/>
          <w:szCs w:val="28"/>
        </w:rPr>
      </w:pPr>
      <w:r w:rsidRPr="00A15997">
        <w:rPr>
          <w:sz w:val="28"/>
          <w:szCs w:val="28"/>
        </w:rPr>
        <w:t xml:space="preserve">Гавасиева, А.М. Банковское дело / А.М. Гавасиева. – М.: ЮНИТИ Дана, 2001. – 863 с. </w:t>
      </w:r>
    </w:p>
    <w:p w:rsidR="00A15997" w:rsidRPr="003D0964" w:rsidRDefault="00A15997" w:rsidP="00A15997">
      <w:pPr>
        <w:pStyle w:val="a5"/>
        <w:numPr>
          <w:ilvl w:val="0"/>
          <w:numId w:val="8"/>
        </w:numPr>
        <w:ind w:left="426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Инструкция Банка России от 01.10.1997г. №1 «О порядке регулирования деятельности кредитных организаций» ( с изменениями и дополнениями).</w:t>
      </w:r>
    </w:p>
    <w:p w:rsidR="00A15997" w:rsidRPr="00A15997" w:rsidRDefault="00A15997" w:rsidP="00A15997">
      <w:pPr>
        <w:pStyle w:val="a5"/>
        <w:numPr>
          <w:ilvl w:val="0"/>
          <w:numId w:val="8"/>
        </w:numPr>
        <w:ind w:left="426"/>
        <w:contextualSpacing/>
        <w:jc w:val="both"/>
        <w:rPr>
          <w:sz w:val="28"/>
          <w:szCs w:val="28"/>
        </w:rPr>
      </w:pPr>
      <w:r w:rsidRPr="00A15997">
        <w:rPr>
          <w:iCs/>
          <w:sz w:val="28"/>
          <w:szCs w:val="28"/>
        </w:rPr>
        <w:t>Климович, В.П. Основы банковского аудита / В.П. Климович. – М.: ФОРУМ: ИНФРА-М, 2005. – 192 с.</w:t>
      </w:r>
    </w:p>
    <w:p w:rsidR="00A15997" w:rsidRDefault="00A15997" w:rsidP="00A15997">
      <w:pPr>
        <w:pStyle w:val="a5"/>
        <w:numPr>
          <w:ilvl w:val="0"/>
          <w:numId w:val="8"/>
        </w:numPr>
        <w:ind w:left="426"/>
        <w:jc w:val="both"/>
        <w:rPr>
          <w:sz w:val="28"/>
          <w:szCs w:val="28"/>
        </w:rPr>
      </w:pPr>
      <w:r w:rsidRPr="00A15997">
        <w:rPr>
          <w:sz w:val="28"/>
          <w:szCs w:val="28"/>
        </w:rPr>
        <w:t>Правила ведения бухгалтерского учета в Центральном банке Российской Федерации (Банке России) от 18.09.1997г. №66 (с изменениями и дополнениями).</w:t>
      </w:r>
    </w:p>
    <w:p w:rsidR="00FC5249" w:rsidRPr="003D0964" w:rsidRDefault="00FC5249" w:rsidP="00A15997">
      <w:pPr>
        <w:pStyle w:val="a5"/>
        <w:numPr>
          <w:ilvl w:val="0"/>
          <w:numId w:val="8"/>
        </w:numPr>
        <w:ind w:left="426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Федеральный закон от 12.04.1995г. № 65-ФЗ « О Центральном банке Российской Федерации (Банке России)» (с изменениями и дополнениями).</w:t>
      </w:r>
    </w:p>
    <w:p w:rsidR="00FC5249" w:rsidRPr="003D0964" w:rsidRDefault="00FC5249" w:rsidP="00A15997">
      <w:pPr>
        <w:pStyle w:val="a5"/>
        <w:numPr>
          <w:ilvl w:val="0"/>
          <w:numId w:val="8"/>
        </w:numPr>
        <w:ind w:left="426"/>
        <w:jc w:val="both"/>
        <w:rPr>
          <w:sz w:val="28"/>
          <w:szCs w:val="28"/>
        </w:rPr>
      </w:pPr>
      <w:r w:rsidRPr="003D0964">
        <w:rPr>
          <w:sz w:val="28"/>
          <w:szCs w:val="28"/>
        </w:rPr>
        <w:t>Федеральный закон от 03.02.1996г. № 17-ФЗ « О банках и банковской деятельности» (с изменениями и дополнениями).</w:t>
      </w:r>
    </w:p>
    <w:p w:rsidR="00A15997" w:rsidRPr="00A15997" w:rsidRDefault="00FC5249" w:rsidP="00A15997">
      <w:pPr>
        <w:pStyle w:val="a5"/>
        <w:numPr>
          <w:ilvl w:val="0"/>
          <w:numId w:val="8"/>
        </w:numPr>
        <w:ind w:left="426"/>
        <w:contextualSpacing/>
        <w:jc w:val="both"/>
        <w:rPr>
          <w:iCs/>
          <w:sz w:val="28"/>
          <w:szCs w:val="28"/>
        </w:rPr>
      </w:pPr>
      <w:r w:rsidRPr="00A15997">
        <w:rPr>
          <w:sz w:val="28"/>
          <w:szCs w:val="28"/>
        </w:rPr>
        <w:t>Указание о внесении изменений и дополнений в Положение Банка России «Об обязательных резервах кредитных организаций, депонируемых в Центральном банке Российской Федерации от 30.03.96 №37» от 29 апреля 2002г</w:t>
      </w:r>
      <w:r w:rsidR="00400A6D" w:rsidRPr="00A15997">
        <w:rPr>
          <w:sz w:val="28"/>
          <w:szCs w:val="28"/>
        </w:rPr>
        <w:t xml:space="preserve">. </w:t>
      </w:r>
      <w:r w:rsidRPr="00A15997">
        <w:rPr>
          <w:sz w:val="28"/>
          <w:szCs w:val="28"/>
        </w:rPr>
        <w:t xml:space="preserve"> №1143-У. </w:t>
      </w:r>
    </w:p>
    <w:p w:rsidR="00AC3AEA" w:rsidRPr="003D0964" w:rsidRDefault="00AC3AEA" w:rsidP="00AC3AEA">
      <w:pPr>
        <w:pStyle w:val="a5"/>
        <w:ind w:left="426" w:firstLine="567"/>
        <w:jc w:val="both"/>
        <w:rPr>
          <w:sz w:val="28"/>
          <w:szCs w:val="28"/>
        </w:rPr>
      </w:pPr>
    </w:p>
    <w:sectPr w:rsidR="00AC3AEA" w:rsidRPr="003D0964" w:rsidSect="004F3F13">
      <w:foot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2E8C" w:rsidRDefault="007F2E8C" w:rsidP="004F3F13">
      <w:pPr>
        <w:spacing w:after="0" w:line="240" w:lineRule="auto"/>
      </w:pPr>
      <w:r>
        <w:separator/>
      </w:r>
    </w:p>
  </w:endnote>
  <w:endnote w:type="continuationSeparator" w:id="0">
    <w:p w:rsidR="007F2E8C" w:rsidRDefault="007F2E8C" w:rsidP="004F3F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3F13" w:rsidRDefault="004F3F13">
    <w:pPr>
      <w:pStyle w:val="ac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810A3">
      <w:rPr>
        <w:noProof/>
      </w:rPr>
      <w:t>2</w:t>
    </w:r>
    <w:r>
      <w:fldChar w:fldCharType="end"/>
    </w:r>
  </w:p>
  <w:p w:rsidR="004F3F13" w:rsidRDefault="004F3F13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2E8C" w:rsidRDefault="007F2E8C" w:rsidP="004F3F13">
      <w:pPr>
        <w:spacing w:after="0" w:line="240" w:lineRule="auto"/>
      </w:pPr>
      <w:r>
        <w:separator/>
      </w:r>
    </w:p>
  </w:footnote>
  <w:footnote w:type="continuationSeparator" w:id="0">
    <w:p w:rsidR="007F2E8C" w:rsidRDefault="007F2E8C" w:rsidP="004F3F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E4EB4"/>
    <w:multiLevelType w:val="hybridMultilevel"/>
    <w:tmpl w:val="4A307F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8A42FFB"/>
    <w:multiLevelType w:val="hybridMultilevel"/>
    <w:tmpl w:val="C220D59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0B25A83"/>
    <w:multiLevelType w:val="hybridMultilevel"/>
    <w:tmpl w:val="1AA0C41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4C3F4270"/>
    <w:multiLevelType w:val="hybridMultilevel"/>
    <w:tmpl w:val="196EF4DC"/>
    <w:lvl w:ilvl="0" w:tplc="4AEE1CA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7F21D48"/>
    <w:multiLevelType w:val="hybridMultilevel"/>
    <w:tmpl w:val="1464B9EE"/>
    <w:lvl w:ilvl="0" w:tplc="4AEE1CA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5A215FB3"/>
    <w:multiLevelType w:val="hybridMultilevel"/>
    <w:tmpl w:val="1BDE8E3C"/>
    <w:lvl w:ilvl="0" w:tplc="4AEE1CA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61791793"/>
    <w:multiLevelType w:val="hybridMultilevel"/>
    <w:tmpl w:val="558C7306"/>
    <w:lvl w:ilvl="0" w:tplc="4AEE1CA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6AC42554"/>
    <w:multiLevelType w:val="hybridMultilevel"/>
    <w:tmpl w:val="66809AA0"/>
    <w:lvl w:ilvl="0" w:tplc="4AEE1CA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79FB6357"/>
    <w:multiLevelType w:val="hybridMultilevel"/>
    <w:tmpl w:val="AC28E822"/>
    <w:lvl w:ilvl="0" w:tplc="4AEE1CA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7"/>
  </w:num>
  <w:num w:numId="5">
    <w:abstractNumId w:val="3"/>
  </w:num>
  <w:num w:numId="6">
    <w:abstractNumId w:val="5"/>
  </w:num>
  <w:num w:numId="7">
    <w:abstractNumId w:val="8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256B"/>
    <w:rsid w:val="00053476"/>
    <w:rsid w:val="001B0C55"/>
    <w:rsid w:val="002930BD"/>
    <w:rsid w:val="00347FE8"/>
    <w:rsid w:val="0038256B"/>
    <w:rsid w:val="00400A6D"/>
    <w:rsid w:val="004F3F13"/>
    <w:rsid w:val="006B48F0"/>
    <w:rsid w:val="006C137D"/>
    <w:rsid w:val="00720528"/>
    <w:rsid w:val="0073238F"/>
    <w:rsid w:val="0078720E"/>
    <w:rsid w:val="007B2064"/>
    <w:rsid w:val="007F2E8C"/>
    <w:rsid w:val="00810683"/>
    <w:rsid w:val="00824232"/>
    <w:rsid w:val="008B3A47"/>
    <w:rsid w:val="008D4EBD"/>
    <w:rsid w:val="009B7884"/>
    <w:rsid w:val="009E7D0A"/>
    <w:rsid w:val="00A15997"/>
    <w:rsid w:val="00A7564D"/>
    <w:rsid w:val="00AB00B1"/>
    <w:rsid w:val="00AC3AEA"/>
    <w:rsid w:val="00D31CEE"/>
    <w:rsid w:val="00D37C42"/>
    <w:rsid w:val="00D41117"/>
    <w:rsid w:val="00DD78D5"/>
    <w:rsid w:val="00F810A3"/>
    <w:rsid w:val="00F970C2"/>
    <w:rsid w:val="00FC5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38F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FC5249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A7564D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0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0528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A7564D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5">
    <w:name w:val="Body Text"/>
    <w:basedOn w:val="a"/>
    <w:link w:val="a6"/>
    <w:rsid w:val="00A7564D"/>
    <w:pPr>
      <w:spacing w:after="0" w:line="360" w:lineRule="auto"/>
    </w:pPr>
    <w:rPr>
      <w:rFonts w:ascii="Times New Roman" w:hAnsi="Times New Roman"/>
      <w:sz w:val="24"/>
      <w:szCs w:val="20"/>
    </w:rPr>
  </w:style>
  <w:style w:type="character" w:customStyle="1" w:styleId="a6">
    <w:name w:val="Основной текст Знак"/>
    <w:basedOn w:val="a0"/>
    <w:link w:val="a5"/>
    <w:rsid w:val="00A7564D"/>
    <w:rPr>
      <w:rFonts w:ascii="Times New Roman" w:eastAsia="Times New Roman" w:hAnsi="Times New Roman" w:cs="Times New Roman"/>
      <w:sz w:val="24"/>
      <w:szCs w:val="20"/>
    </w:rPr>
  </w:style>
  <w:style w:type="paragraph" w:customStyle="1" w:styleId="ConsNormal">
    <w:name w:val="ConsNormal"/>
    <w:rsid w:val="00A7564D"/>
    <w:pPr>
      <w:widowControl w:val="0"/>
      <w:ind w:firstLine="720"/>
    </w:pPr>
    <w:rPr>
      <w:rFonts w:ascii="Arial" w:hAnsi="Arial"/>
      <w:snapToGrid w:val="0"/>
    </w:rPr>
  </w:style>
  <w:style w:type="paragraph" w:customStyle="1" w:styleId="ConsNonformat">
    <w:name w:val="ConsNonformat"/>
    <w:rsid w:val="00A7564D"/>
    <w:pPr>
      <w:widowControl w:val="0"/>
    </w:pPr>
    <w:rPr>
      <w:rFonts w:ascii="Courier New" w:hAnsi="Courier New"/>
      <w:snapToGrid w:val="0"/>
    </w:rPr>
  </w:style>
  <w:style w:type="character" w:customStyle="1" w:styleId="10">
    <w:name w:val="Заголовок 1 Знак"/>
    <w:basedOn w:val="a0"/>
    <w:link w:val="1"/>
    <w:rsid w:val="00FC5249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7">
    <w:name w:val="List Paragraph"/>
    <w:basedOn w:val="a"/>
    <w:uiPriority w:val="34"/>
    <w:qFormat/>
    <w:rsid w:val="0078720E"/>
    <w:pPr>
      <w:ind w:left="720"/>
      <w:contextualSpacing/>
    </w:pPr>
  </w:style>
  <w:style w:type="paragraph" w:styleId="a8">
    <w:name w:val="Body Text Indent"/>
    <w:basedOn w:val="a"/>
    <w:link w:val="a9"/>
    <w:uiPriority w:val="99"/>
    <w:unhideWhenUsed/>
    <w:rsid w:val="00A15997"/>
    <w:pPr>
      <w:spacing w:after="120"/>
      <w:ind w:left="283"/>
    </w:pPr>
    <w:rPr>
      <w:rFonts w:eastAsia="Calibri"/>
      <w:lang w:eastAsia="en-US"/>
    </w:rPr>
  </w:style>
  <w:style w:type="character" w:customStyle="1" w:styleId="a9">
    <w:name w:val="Основной текст с отступом Знак"/>
    <w:basedOn w:val="a0"/>
    <w:link w:val="a8"/>
    <w:uiPriority w:val="99"/>
    <w:rsid w:val="00A15997"/>
    <w:rPr>
      <w:rFonts w:ascii="Calibri" w:eastAsia="Calibri" w:hAnsi="Calibri" w:cs="Times New Roman"/>
      <w:lang w:eastAsia="en-US"/>
    </w:rPr>
  </w:style>
  <w:style w:type="paragraph" w:styleId="aa">
    <w:name w:val="header"/>
    <w:basedOn w:val="a"/>
    <w:link w:val="ab"/>
    <w:uiPriority w:val="99"/>
    <w:semiHidden/>
    <w:unhideWhenUsed/>
    <w:rsid w:val="004F3F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4F3F13"/>
  </w:style>
  <w:style w:type="paragraph" w:styleId="ac">
    <w:name w:val="footer"/>
    <w:basedOn w:val="a"/>
    <w:link w:val="ad"/>
    <w:uiPriority w:val="99"/>
    <w:unhideWhenUsed/>
    <w:rsid w:val="004F3F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F3F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2347</Words>
  <Characters>17087</Characters>
  <Application>Microsoft Office Word</Application>
  <DocSecurity>0</DocSecurity>
  <Lines>357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2010-03-29T21:25:00Z</cp:lastPrinted>
  <dcterms:created xsi:type="dcterms:W3CDTF">2016-12-15T08:56:00Z</dcterms:created>
  <dcterms:modified xsi:type="dcterms:W3CDTF">2016-12-15T08:56:00Z</dcterms:modified>
</cp:coreProperties>
</file>