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648" w:rsidRDefault="00EC1648" w:rsidP="007614E0">
      <w:pPr>
        <w:pStyle w:val="1"/>
        <w:spacing w:before="100" w:beforeAutospacing="1" w:after="100" w:afterAutospacing="1" w:line="240" w:lineRule="auto"/>
        <w:ind w:left="426"/>
        <w:jc w:val="center"/>
        <w:rPr>
          <w:rFonts w:ascii="Times New Roman" w:eastAsia="Times New Roman" w:hAnsi="Times New Roman"/>
          <w:bCs/>
          <w:sz w:val="28"/>
          <w:szCs w:val="28"/>
          <w:lang w:eastAsia="ru-RU"/>
        </w:rPr>
      </w:pPr>
      <w:bookmarkStart w:id="0" w:name="_GoBack"/>
      <w:bookmarkEnd w:id="0"/>
    </w:p>
    <w:p w:rsidR="007614E0" w:rsidRDefault="007614E0" w:rsidP="007614E0">
      <w:pPr>
        <w:pStyle w:val="1"/>
        <w:spacing w:before="100" w:beforeAutospacing="1" w:after="100" w:afterAutospacing="1" w:line="240" w:lineRule="auto"/>
        <w:ind w:left="426"/>
        <w:jc w:val="center"/>
        <w:rPr>
          <w:rFonts w:ascii="Times New Roman" w:eastAsia="Times New Roman" w:hAnsi="Times New Roman"/>
          <w:bCs/>
          <w:sz w:val="28"/>
          <w:szCs w:val="28"/>
          <w:lang w:eastAsia="ru-RU"/>
        </w:rPr>
      </w:pPr>
      <w:r w:rsidRPr="007614E0">
        <w:rPr>
          <w:rFonts w:ascii="Times New Roman" w:eastAsia="Times New Roman" w:hAnsi="Times New Roman"/>
          <w:bCs/>
          <w:sz w:val="28"/>
          <w:szCs w:val="28"/>
          <w:lang w:eastAsia="ru-RU"/>
        </w:rPr>
        <w:t>ВВЕДЕНИЕ</w:t>
      </w:r>
    </w:p>
    <w:p w:rsidR="007614E0" w:rsidRPr="007614E0" w:rsidRDefault="007614E0" w:rsidP="007614E0">
      <w:pPr>
        <w:spacing w:before="100" w:beforeAutospacing="1" w:after="100" w:afterAutospacing="1" w:line="360" w:lineRule="auto"/>
        <w:ind w:firstLine="426"/>
        <w:jc w:val="both"/>
        <w:rPr>
          <w:rFonts w:ascii="Times New Roman" w:eastAsia="Times New Roman" w:hAnsi="Times New Roman"/>
          <w:sz w:val="28"/>
          <w:szCs w:val="28"/>
          <w:lang w:eastAsia="ru-RU"/>
        </w:rPr>
      </w:pPr>
      <w:r w:rsidRPr="007614E0">
        <w:rPr>
          <w:rFonts w:ascii="Times New Roman" w:eastAsia="Times New Roman" w:hAnsi="Times New Roman"/>
          <w:bCs/>
          <w:sz w:val="28"/>
          <w:szCs w:val="28"/>
          <w:lang w:eastAsia="ru-RU"/>
        </w:rPr>
        <w:t>В настоящее время в нашей стране всё большее развитие получает рынок ценных бумаг. Практически все субъекты экономических отношений, ведущие бухгалтерский учет непосредственно сталкиваются с учётом операций с ценными бумагами.</w:t>
      </w:r>
    </w:p>
    <w:p w:rsidR="007614E0" w:rsidRPr="007614E0" w:rsidRDefault="007614E0" w:rsidP="00F9174E">
      <w:pPr>
        <w:spacing w:before="100" w:beforeAutospacing="1" w:after="100" w:afterAutospacing="1" w:line="360" w:lineRule="auto"/>
        <w:ind w:firstLine="426"/>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Основная проблема рынка ценных бумаг в нашей стране это нестабильная экономическая система, недоверие партнеров друг другу и желание получать оплату за товары и услуги по факту отгрузки с предоплатой. Мало руководителей, которые в настоящее время верят в надежность некоторых государственных и корпоративных ценных бумаг в нашей стране и в возможность нормально работать в данных экономических и политических условиях. Тем не менее, процессы, происходящие в нашей стране необратимы, и должны привести к новым политическим и экономическим условиям функционирования рынка ценных бумаг и всей финансовой системы в целом.</w:t>
      </w:r>
    </w:p>
    <w:p w:rsidR="003424F8" w:rsidRDefault="003424F8" w:rsidP="003424F8">
      <w:pPr>
        <w:spacing w:line="360" w:lineRule="auto"/>
        <w:ind w:firstLine="357"/>
        <w:jc w:val="both"/>
        <w:rPr>
          <w:rFonts w:ascii="Times New Roman" w:hAnsi="Times New Roman"/>
          <w:sz w:val="28"/>
          <w:szCs w:val="28"/>
        </w:rPr>
      </w:pPr>
      <w:r>
        <w:rPr>
          <w:rFonts w:ascii="Times New Roman" w:eastAsia="Times New Roman" w:hAnsi="Times New Roman"/>
          <w:sz w:val="28"/>
          <w:szCs w:val="28"/>
          <w:lang w:eastAsia="ru-RU"/>
        </w:rPr>
        <w:t xml:space="preserve">Целью данной контрольной работы является изучение </w:t>
      </w:r>
      <w:r w:rsidRPr="003424F8">
        <w:rPr>
          <w:rFonts w:ascii="Times New Roman" w:hAnsi="Times New Roman"/>
          <w:sz w:val="28"/>
          <w:szCs w:val="28"/>
        </w:rPr>
        <w:t>бухгалтерского учета в банках: сформулированы основные задачи и принципы учета в банках; раскрываются вопросы аналитического и синтетического учета; представляется характеристика банковской документации и документооборота; особое внимание уделяется методикам учета основных банковских операций: расчетные, депозитные, кредитные, валютные, с ценными бумагами, трастовые и т.д.</w:t>
      </w:r>
    </w:p>
    <w:p w:rsidR="003424F8" w:rsidRDefault="003424F8" w:rsidP="003424F8">
      <w:pPr>
        <w:spacing w:line="360" w:lineRule="auto"/>
        <w:ind w:firstLine="357"/>
        <w:jc w:val="both"/>
        <w:rPr>
          <w:rFonts w:ascii="Times New Roman" w:hAnsi="Times New Roman"/>
          <w:sz w:val="28"/>
          <w:szCs w:val="28"/>
        </w:rPr>
      </w:pPr>
      <w:r>
        <w:rPr>
          <w:rFonts w:ascii="Times New Roman" w:hAnsi="Times New Roman"/>
          <w:sz w:val="28"/>
          <w:szCs w:val="28"/>
        </w:rPr>
        <w:t>Задачами данной работы являются рассмотрение организации</w:t>
      </w:r>
      <w:r w:rsidR="00AC1204">
        <w:rPr>
          <w:rFonts w:ascii="Times New Roman" w:hAnsi="Times New Roman"/>
          <w:sz w:val="28"/>
          <w:szCs w:val="28"/>
        </w:rPr>
        <w:t xml:space="preserve"> и учета вложений банка в ценные бумаги, изучение бухгалтерского баланса в коммерческом банке, а также рассмотрение вложений банка в государственные ценные бумаги.</w:t>
      </w:r>
    </w:p>
    <w:p w:rsidR="002D5718" w:rsidRDefault="002D5718" w:rsidP="003424F8">
      <w:pPr>
        <w:spacing w:line="360" w:lineRule="auto"/>
        <w:ind w:firstLine="357"/>
        <w:jc w:val="both"/>
        <w:rPr>
          <w:rFonts w:ascii="Times New Roman" w:hAnsi="Times New Roman"/>
          <w:sz w:val="28"/>
          <w:szCs w:val="28"/>
          <w:lang w:val="en-US"/>
        </w:rPr>
      </w:pPr>
    </w:p>
    <w:p w:rsidR="00F9174E" w:rsidRPr="00F9174E" w:rsidRDefault="00F9174E" w:rsidP="007614E0">
      <w:pPr>
        <w:pStyle w:val="1"/>
        <w:spacing w:before="100" w:beforeAutospacing="1" w:after="100" w:afterAutospacing="1" w:line="240" w:lineRule="auto"/>
        <w:ind w:left="426"/>
        <w:rPr>
          <w:rFonts w:ascii="Times New Roman" w:eastAsia="Times New Roman" w:hAnsi="Times New Roman"/>
          <w:b/>
          <w:bCs/>
          <w:sz w:val="28"/>
          <w:szCs w:val="28"/>
          <w:lang w:eastAsia="ru-RU"/>
        </w:rPr>
      </w:pPr>
    </w:p>
    <w:p w:rsidR="006F138E" w:rsidRPr="006F138E" w:rsidRDefault="006F138E" w:rsidP="007614E0">
      <w:pPr>
        <w:pStyle w:val="1"/>
        <w:spacing w:before="100" w:beforeAutospacing="1" w:after="100" w:afterAutospacing="1" w:line="240" w:lineRule="auto"/>
        <w:ind w:left="426"/>
        <w:rPr>
          <w:rFonts w:ascii="Times New Roman" w:eastAsia="Times New Roman" w:hAnsi="Times New Roman"/>
          <w:b/>
          <w:bCs/>
          <w:sz w:val="28"/>
          <w:szCs w:val="28"/>
          <w:lang w:val="en-US" w:eastAsia="ru-RU"/>
        </w:rPr>
      </w:pPr>
    </w:p>
    <w:p w:rsidR="0047175D" w:rsidRPr="0047175D" w:rsidRDefault="0047175D" w:rsidP="0047175D">
      <w:pPr>
        <w:pStyle w:val="1"/>
        <w:numPr>
          <w:ilvl w:val="0"/>
          <w:numId w:val="1"/>
        </w:numPr>
        <w:spacing w:before="100" w:beforeAutospacing="1" w:after="100" w:afterAutospacing="1" w:line="240" w:lineRule="auto"/>
        <w:jc w:val="center"/>
        <w:rPr>
          <w:rFonts w:ascii="Times New Roman" w:eastAsia="Times New Roman" w:hAnsi="Times New Roman"/>
          <w:b/>
          <w:bCs/>
          <w:sz w:val="28"/>
          <w:szCs w:val="28"/>
          <w:lang w:eastAsia="ru-RU"/>
        </w:rPr>
      </w:pPr>
      <w:r w:rsidRPr="0047175D">
        <w:rPr>
          <w:rFonts w:ascii="Times New Roman" w:eastAsia="Times New Roman" w:hAnsi="Times New Roman"/>
          <w:b/>
          <w:bCs/>
          <w:sz w:val="28"/>
          <w:szCs w:val="28"/>
          <w:lang w:eastAsia="ru-RU"/>
        </w:rPr>
        <w:t>Организация и учет вложений банка в ценные бумаги</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sidRPr="0047175D">
        <w:rPr>
          <w:rFonts w:ascii="Times New Roman" w:eastAsia="Times New Roman" w:hAnsi="Times New Roman"/>
          <w:b/>
          <w:bCs/>
          <w:sz w:val="28"/>
          <w:szCs w:val="28"/>
          <w:lang w:eastAsia="ru-RU"/>
        </w:rPr>
        <w:t>Финансовые вложения -</w:t>
      </w:r>
      <w:r w:rsidRPr="0047175D">
        <w:rPr>
          <w:rFonts w:ascii="Times New Roman" w:eastAsia="Times New Roman" w:hAnsi="Times New Roman"/>
          <w:sz w:val="28"/>
          <w:szCs w:val="28"/>
          <w:lang w:eastAsia="ru-RU"/>
        </w:rPr>
        <w:t xml:space="preserve"> это отвлеченные средств, призванные приносить предприятию доход в течение определенного времени.</w:t>
      </w:r>
    </w:p>
    <w:p w:rsid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 xml:space="preserve">К финансовым вложениям кредитной организации относятся: </w:t>
      </w:r>
    </w:p>
    <w:p w:rsid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 xml:space="preserve">государственные и муниципальные ценные бумаги, ценные бумаги других организаций, в том числе долговые ценные бумаги, в которых дата и стоимость погашения определена (облигации, векселя); </w:t>
      </w:r>
    </w:p>
    <w:p w:rsid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 xml:space="preserve">вклады в уставные (складочные) капиталы других организаций (в том числе дочерних и зависимых хозяйственных обществ); </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предоставленные другим организациям займы, депозитные вклады в кредитных организациях, дебиторская задолженность, приобретенная на основании уступки права требования, и пр.</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 xml:space="preserve">Также, </w:t>
      </w:r>
      <w:r>
        <w:rPr>
          <w:rFonts w:ascii="Times New Roman" w:eastAsia="Times New Roman" w:hAnsi="Times New Roman"/>
          <w:sz w:val="28"/>
          <w:szCs w:val="28"/>
          <w:lang w:eastAsia="ru-RU"/>
        </w:rPr>
        <w:t xml:space="preserve">в </w:t>
      </w:r>
      <w:r w:rsidRPr="0047175D">
        <w:rPr>
          <w:rFonts w:ascii="Times New Roman" w:eastAsia="Times New Roman" w:hAnsi="Times New Roman"/>
          <w:sz w:val="28"/>
          <w:szCs w:val="28"/>
          <w:lang w:eastAsia="ru-RU"/>
        </w:rPr>
        <w:t>составе финансовых вложений учитываются вклады организации - товарища по договору простого товарищества.</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sidRPr="0047175D">
        <w:rPr>
          <w:rFonts w:ascii="Times New Roman" w:eastAsia="Times New Roman" w:hAnsi="Times New Roman"/>
          <w:b/>
          <w:bCs/>
          <w:sz w:val="28"/>
          <w:szCs w:val="28"/>
          <w:lang w:eastAsia="ru-RU"/>
        </w:rPr>
        <w:t>Ценная бумага</w:t>
      </w:r>
      <w:r w:rsidRPr="0047175D">
        <w:rPr>
          <w:rFonts w:ascii="Times New Roman" w:eastAsia="Times New Roman" w:hAnsi="Times New Roman"/>
          <w:sz w:val="28"/>
          <w:szCs w:val="28"/>
          <w:lang w:eastAsia="ru-RU"/>
        </w:rPr>
        <w:t xml:space="preserve"> - денежный документ, удостоверяющий имущественное право или отношение займам владельца документа к лицу, выпустившему такой документ.</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w:t>
      </w:r>
      <w:r w:rsidRPr="0047175D">
        <w:rPr>
          <w:rFonts w:ascii="Times New Roman" w:eastAsia="Times New Roman" w:hAnsi="Times New Roman"/>
          <w:sz w:val="28"/>
          <w:szCs w:val="28"/>
          <w:lang w:eastAsia="ru-RU"/>
        </w:rPr>
        <w:t>ценным бумагам относятся государственная облигация, облигация, вексель, чек, депозитный и сберегательный сертификаты, банковская сберегательная книжка на предъявителя, коносамент, акция, приватизационные ценные бумаги и другие документы, которые законом о ценных бумагах или в установленном ими порядке отнесены к ценных бумаг.</w:t>
      </w:r>
    </w:p>
    <w:p w:rsidR="0047175D" w:rsidRPr="0047175D" w:rsidRDefault="0047175D" w:rsidP="0047175D">
      <w:pPr>
        <w:spacing w:before="100" w:beforeAutospacing="1" w:after="100" w:afterAutospacing="1" w:line="360" w:lineRule="auto"/>
        <w:ind w:firstLine="426"/>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 xml:space="preserve">Финансовые вложения классифицируют по различным признакам: </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В зависимости от связи с уставным капиталом различают финансовые вложения с целью образования уставного капитала и долговые. К вложениям с целью образования уставного капитала относят акции, вклады в уставные капиталы других организаций и инвестиционные сертификаты, подтверждающие долю участия в инвестиционном фонде других предприятий и дающие право на получение дохода. К долговым ценным бумагам относят облигации, закладные, депозитные и сберегательные сертификаты, казначейские обязательства и векселя.</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По формам собственности различают государственные и негосударственные ценные бумаги.</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В зависимости от срока, на который произведены ценные финансове вложения, они подразделяются на долгосрочные, установленный срок погашения которых превышает 1год, и краткосрочные, срок погашения которых менее года, либо намерения получать доходы по ним менее 1года.</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В ценной бумаге на предъявителя все удостоверенные этой ценной бумагой права принадлежат ее фактическому владельцу, т.е. тому лицу, которое может предъявить данную ценную бумагу к исполнению обязанному лицу.</w:t>
      </w:r>
      <w:r>
        <w:rPr>
          <w:rFonts w:ascii="Times New Roman" w:eastAsia="Times New Roman" w:hAnsi="Times New Roman"/>
          <w:sz w:val="28"/>
          <w:szCs w:val="28"/>
          <w:lang w:eastAsia="ru-RU"/>
        </w:rPr>
        <w:t xml:space="preserve"> Передача прав по предъявительс</w:t>
      </w:r>
      <w:r w:rsidRPr="0047175D">
        <w:rPr>
          <w:rFonts w:ascii="Times New Roman" w:eastAsia="Times New Roman" w:hAnsi="Times New Roman"/>
          <w:sz w:val="28"/>
          <w:szCs w:val="28"/>
          <w:lang w:eastAsia="ru-RU"/>
        </w:rPr>
        <w:t>кой ценной бумаге производится путем передачи самой ценной бумаги.</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В именной ценной бумаге все удостоверенные ею права принадлежат исключительно названном</w:t>
      </w:r>
      <w:r>
        <w:rPr>
          <w:rFonts w:ascii="Times New Roman" w:eastAsia="Times New Roman" w:hAnsi="Times New Roman"/>
          <w:sz w:val="28"/>
          <w:szCs w:val="28"/>
          <w:lang w:eastAsia="ru-RU"/>
        </w:rPr>
        <w:t>у в этой ценной бумаге лицу. Ни</w:t>
      </w:r>
      <w:r w:rsidRPr="0047175D">
        <w:rPr>
          <w:rFonts w:ascii="Times New Roman" w:eastAsia="Times New Roman" w:hAnsi="Times New Roman"/>
          <w:sz w:val="28"/>
          <w:szCs w:val="28"/>
          <w:lang w:eastAsia="ru-RU"/>
        </w:rPr>
        <w:t xml:space="preserve">кому, кроме этого лица, исполнение по именной ценной бумаге не может быть произведено. Права, удостоверенные именной ценной бумагой, передаются в порядке, </w:t>
      </w:r>
      <w:r>
        <w:rPr>
          <w:rFonts w:ascii="Times New Roman" w:eastAsia="Times New Roman" w:hAnsi="Times New Roman"/>
          <w:sz w:val="28"/>
          <w:szCs w:val="28"/>
          <w:lang w:eastAsia="ru-RU"/>
        </w:rPr>
        <w:t>установленном для уступки требо</w:t>
      </w:r>
      <w:r w:rsidRPr="0047175D">
        <w:rPr>
          <w:rFonts w:ascii="Times New Roman" w:eastAsia="Times New Roman" w:hAnsi="Times New Roman"/>
          <w:sz w:val="28"/>
          <w:szCs w:val="28"/>
          <w:lang w:eastAsia="ru-RU"/>
        </w:rPr>
        <w:t>вания)</w:t>
      </w:r>
    </w:p>
    <w:p w:rsid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В ордерной ценной бумаге указывается лицо, которое может осуществить удостоверенные данной ценной б</w:t>
      </w:r>
      <w:r>
        <w:rPr>
          <w:rFonts w:ascii="Times New Roman" w:eastAsia="Times New Roman" w:hAnsi="Times New Roman"/>
          <w:sz w:val="28"/>
          <w:szCs w:val="28"/>
          <w:lang w:eastAsia="ru-RU"/>
        </w:rPr>
        <w:t>умагой права самостоя</w:t>
      </w:r>
      <w:r w:rsidRPr="0047175D">
        <w:rPr>
          <w:rFonts w:ascii="Times New Roman" w:eastAsia="Times New Roman" w:hAnsi="Times New Roman"/>
          <w:sz w:val="28"/>
          <w:szCs w:val="28"/>
          <w:lang w:eastAsia="ru-RU"/>
        </w:rPr>
        <w:t>тельно или назначить своим распоряжением (ордером, приказом) другое уп</w:t>
      </w:r>
      <w:r>
        <w:rPr>
          <w:rFonts w:ascii="Times New Roman" w:eastAsia="Times New Roman" w:hAnsi="Times New Roman"/>
          <w:sz w:val="28"/>
          <w:szCs w:val="28"/>
          <w:lang w:eastAsia="ru-RU"/>
        </w:rPr>
        <w:t>олно</w:t>
      </w:r>
      <w:r w:rsidRPr="0047175D">
        <w:rPr>
          <w:rFonts w:ascii="Times New Roman" w:eastAsia="Times New Roman" w:hAnsi="Times New Roman"/>
          <w:sz w:val="28"/>
          <w:szCs w:val="28"/>
          <w:lang w:eastAsia="ru-RU"/>
        </w:rPr>
        <w:t>моченное лицо. Пр</w:t>
      </w:r>
      <w:r>
        <w:rPr>
          <w:rFonts w:ascii="Times New Roman" w:eastAsia="Times New Roman" w:hAnsi="Times New Roman"/>
          <w:sz w:val="28"/>
          <w:szCs w:val="28"/>
          <w:lang w:eastAsia="ru-RU"/>
        </w:rPr>
        <w:t>и этом новый владелец также име</w:t>
      </w:r>
      <w:r w:rsidRPr="0047175D">
        <w:rPr>
          <w:rFonts w:ascii="Times New Roman" w:eastAsia="Times New Roman" w:hAnsi="Times New Roman"/>
          <w:sz w:val="28"/>
          <w:szCs w:val="28"/>
          <w:lang w:eastAsia="ru-RU"/>
        </w:rPr>
        <w:t>ет право передать эту ценную бу</w:t>
      </w:r>
      <w:r>
        <w:rPr>
          <w:rFonts w:ascii="Times New Roman" w:eastAsia="Times New Roman" w:hAnsi="Times New Roman"/>
          <w:sz w:val="28"/>
          <w:szCs w:val="28"/>
          <w:lang w:eastAsia="ru-RU"/>
        </w:rPr>
        <w:t>магу. Переход прав, удостоверен</w:t>
      </w:r>
      <w:r w:rsidRPr="0047175D">
        <w:rPr>
          <w:rFonts w:ascii="Times New Roman" w:eastAsia="Times New Roman" w:hAnsi="Times New Roman"/>
          <w:sz w:val="28"/>
          <w:szCs w:val="28"/>
          <w:lang w:eastAsia="ru-RU"/>
        </w:rPr>
        <w:t>ных ордерной ценной бумагой, осуществляется с по</w:t>
      </w:r>
      <w:r>
        <w:rPr>
          <w:rFonts w:ascii="Times New Roman" w:eastAsia="Times New Roman" w:hAnsi="Times New Roman"/>
          <w:sz w:val="28"/>
          <w:szCs w:val="28"/>
          <w:lang w:eastAsia="ru-RU"/>
        </w:rPr>
        <w:t>мощью переда</w:t>
      </w:r>
      <w:r w:rsidRPr="0047175D">
        <w:rPr>
          <w:rFonts w:ascii="Times New Roman" w:eastAsia="Times New Roman" w:hAnsi="Times New Roman"/>
          <w:sz w:val="28"/>
          <w:szCs w:val="28"/>
          <w:lang w:eastAsia="ru-RU"/>
        </w:rPr>
        <w:t xml:space="preserve">точной надписи - индоссамента. Виды индоссамента: </w:t>
      </w:r>
    </w:p>
    <w:p w:rsid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 xml:space="preserve">бланковый (без указания лица, которому должно быть произведено исполнение); </w:t>
      </w:r>
    </w:p>
    <w:p w:rsid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 xml:space="preserve">ордерный (с указанием лица, которому или по приказу которого должно быть произведено исполнение); </w:t>
      </w:r>
    </w:p>
    <w:p w:rsid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47175D">
        <w:rPr>
          <w:rFonts w:ascii="Times New Roman" w:eastAsia="Times New Roman" w:hAnsi="Times New Roman"/>
          <w:sz w:val="28"/>
          <w:szCs w:val="28"/>
          <w:lang w:eastAsia="ru-RU"/>
        </w:rPr>
        <w:t>препоручительный (дающий индоссату как представителю владельца-индоссанта только поручение осуществить указанное право в интересах владельца).</w:t>
      </w:r>
      <w:r>
        <w:rPr>
          <w:rFonts w:ascii="Times New Roman" w:eastAsia="Times New Roman" w:hAnsi="Times New Roman"/>
          <w:sz w:val="28"/>
          <w:szCs w:val="28"/>
          <w:lang w:eastAsia="ru-RU"/>
        </w:rPr>
        <w:t xml:space="preserve"> </w:t>
      </w:r>
    </w:p>
    <w:p w:rsidR="0047175D" w:rsidRP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отличие от именных ценных бу</w:t>
      </w:r>
      <w:r w:rsidRPr="0047175D">
        <w:rPr>
          <w:rFonts w:ascii="Times New Roman" w:eastAsia="Times New Roman" w:hAnsi="Times New Roman"/>
          <w:sz w:val="28"/>
          <w:szCs w:val="28"/>
          <w:lang w:eastAsia="ru-RU"/>
        </w:rPr>
        <w:t>маг индоссант, т.е. лицо, осуществившее передачу ценной бумаги, отвечает перед индоссатом, т.е. лицом, которому передана ценная бумага, не только за действительность удостоверенного ценной бумагой права, но и за его осуществление</w:t>
      </w:r>
    </w:p>
    <w:p w:rsidR="0047175D" w:rsidRDefault="0047175D"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sidRPr="0047175D">
        <w:rPr>
          <w:rFonts w:ascii="Times New Roman" w:eastAsia="Times New Roman" w:hAnsi="Times New Roman"/>
          <w:sz w:val="28"/>
          <w:szCs w:val="28"/>
          <w:lang w:eastAsia="ru-RU"/>
        </w:rPr>
        <w:t>Ценные бумаги могут выпускаться в документарной (бумажной) и бездокументарной (на машинных носителях) форме.</w:t>
      </w:r>
    </w:p>
    <w:p w:rsidR="0047175D"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Котируемые ценные бумаги – это ценные бумаги, удовлетворяющие следующим требованиям:</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допуск к обращению на открытом организованном рынке ценных бумаг (РЦБ);</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оборот за последний календарный месяц на организованном открытом рынке;</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информация о рыночной цене общедоступна.</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Некотируемые ценные бумаги- признаются любые ценные бумаги, неудовлетворяющие условиям, указанным выше.</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Инвестиционный доход – доход по ценным бумагам, в виде купонного дохода, дивидендов.</w:t>
      </w:r>
    </w:p>
    <w:p w:rsidR="00043401" w:rsidRDefault="0004340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Приобретение ценных бумаг – постановка ценных бумаг на учет на счета баланса в связи с приобрете</w:t>
      </w:r>
      <w:r w:rsidR="008F1ACB">
        <w:rPr>
          <w:rFonts w:ascii="Times New Roman" w:eastAsia="Times New Roman" w:hAnsi="Times New Roman"/>
          <w:sz w:val="28"/>
          <w:szCs w:val="28"/>
          <w:lang w:eastAsia="ru-RU"/>
        </w:rPr>
        <w:t>нием на нее правом собственности.</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Вложения в ценные бумаги – фактические затраты по приобретению ценных бумаг, включая затраты, связанные с их приобретением и выбытием (реализацией), по купонным долговым обязательствам также процентный доход, уплаченный при их приобретении.</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Метод учета вложений в ценные бумаги – порядок определения балансовой стоимости вложений в ценные бумаги для отражения в бухгалтерском учете их стоимости с учетом колебаний рыночной коньюктуры или рисков обесценивания. В бухгалтерском учете используются следующие методы:</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учет по цене приобретения (метод учета при котором в течении нахождения в соответствующем портфеле балансовая стоимость ценных бумаг не изменяется);</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учет по рыночной цене (метод учета, при котором вложения в ценные бумаги периодически переоцениваются по рыночной цене);</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переоценка ценных бумаг (определение балансовой стоимости ценных бумаг, которые находятся в портфеле кредитной организации по состоянию на конец рабочего дня. Переоценка производится путем умножения количества ценных бумаг на их рыночную цену);</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выбытие ценных бумаг ( списание ценных бумаг с учета на счетах баланса в связи с утратой прав на ценные бумаги, погашение ценных бумаг, либо невозможностью учета вложений в просроченные долговые обязательства);</w:t>
      </w:r>
    </w:p>
    <w:p w:rsidR="008F1ACB" w:rsidRDefault="008F1ACB"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себестоимость ценных бумаг (стоимость вложений в ценные бумаги, отражающие в бухгалтерском учете при их выбытии на основании метода оценки себестоимости реализованных и выбывающих ценных бумаг).</w:t>
      </w:r>
    </w:p>
    <w:p w:rsidR="008F1ACB"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 движению ценных бумаг, по их видам и срокам погашения в плане счетов выделен раздел 55 «Операции с ценными бумагами», который подразделен на группы и счета первого и второго порядка:</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Первая группа «Вложения в долговые обязательства», содержит счета первого порядка 501-505 и счета второго порядка по шифрам.</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Вторая группа «Вложения в акции», содержит счета первого порядка 506-509 и счета второго порядка по шифрам.</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Третья группа «Учтенные векселя», счета первого порядка 512-519, подразделенные по счетам второго порядка по шифрам : </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01 – довостребования</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02 – со сроком погашения до 30 дней</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03 -  со сроком погашения от 31 до 90 дней и т.д.</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Четвертая группа «Выпущенные банками ценные бумаги», счета первого порядка 520-523.</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Каждый счет подразделяется на счета второго порядка по срокам погашения от 30 дней до свыше 3 лет. </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Бланки акций, себерегательных сертификатов, облигаций, выпуск банком для распространения до момента продажи учитываются на внебалансовом счете 90701.</w:t>
      </w:r>
    </w:p>
    <w:p w:rsidR="00BD2F41" w:rsidRDefault="00BD2F41" w:rsidP="0047175D">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Учет операций с ценными бумагами, учитывающие по цене приобретения:</w:t>
      </w:r>
    </w:p>
    <w:p w:rsidR="00BD2F41" w:rsidRDefault="00BD2F41" w:rsidP="00BD2F41">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Кредитной организации приобретает ценные бумаги:</w:t>
      </w:r>
    </w:p>
    <w:p w:rsidR="00BD2F41" w:rsidRDefault="00BD2F41" w:rsidP="00BD2F41">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50104-10,50205-11,50705-08,50605-08,50805-08</w:t>
      </w:r>
    </w:p>
    <w:p w:rsidR="00BD2F41" w:rsidRDefault="00BD2F41" w:rsidP="00BD2F41">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30102,20202,47407,30602</w:t>
      </w:r>
    </w:p>
    <w:p w:rsidR="00BD2F41" w:rsidRDefault="00BD2F41" w:rsidP="00BD2F41">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Уплачен при приобретении ценных бумаг накопленный процентный доход:</w:t>
      </w:r>
    </w:p>
    <w:p w:rsidR="00BD2F41" w:rsidRDefault="00BD2F41" w:rsidP="00BD2F41">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50406,47407,47408</w:t>
      </w:r>
    </w:p>
    <w:p w:rsidR="00BD2F41" w:rsidRDefault="00BD2F41" w:rsidP="00BD2F41">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20202,30102</w:t>
      </w:r>
    </w:p>
    <w:p w:rsidR="00BD2F41" w:rsidRDefault="0095119E" w:rsidP="00BD2F41">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Списаны затраты, связанные с приобретением ценных бумаг:</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50505</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47422,30602</w:t>
      </w:r>
    </w:p>
    <w:p w:rsidR="0095119E" w:rsidRDefault="0095119E" w:rsidP="0095119E">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Выбытие ценных бумаг:</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61203,61204</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50205-11,50605-08,50705-08,50805-08</w:t>
      </w:r>
    </w:p>
    <w:p w:rsidR="0095119E" w:rsidRDefault="0095119E" w:rsidP="0095119E">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Отнесен финансовый результат от выбытия ценных бумаг:</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61203</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70102  ( положительный)</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70204</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61204 (отрицательный)</w:t>
      </w:r>
    </w:p>
    <w:p w:rsidR="0095119E" w:rsidRDefault="0095119E" w:rsidP="0095119E">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Закрыт счет по учету накопленного процентного дохода:</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50405</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50406</w:t>
      </w:r>
    </w:p>
    <w:p w:rsidR="0095119E" w:rsidRDefault="0095119E" w:rsidP="0095119E">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Отнесено итоговое сальдо на счета по учету процентного дохода от вложения в долговые обязательства:</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50405</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70102</w:t>
      </w:r>
    </w:p>
    <w:p w:rsidR="0095119E" w:rsidRDefault="0095119E" w:rsidP="0095119E">
      <w:pPr>
        <w:pStyle w:val="1"/>
        <w:numPr>
          <w:ilvl w:val="0"/>
          <w:numId w:val="2"/>
        </w:num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Выплаченные проценты очередного купона по обращающимся долговым обязательствам:</w:t>
      </w:r>
    </w:p>
    <w:p w:rsid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20202,30102,30602</w:t>
      </w:r>
    </w:p>
    <w:p w:rsidR="008F1ACB"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50405</w:t>
      </w:r>
    </w:p>
    <w:p w:rsidR="0095119E" w:rsidRPr="0095119E" w:rsidRDefault="0095119E" w:rsidP="0095119E">
      <w:pPr>
        <w:pStyle w:val="1"/>
        <w:spacing w:before="100" w:beforeAutospacing="1" w:after="100" w:afterAutospacing="1" w:line="360" w:lineRule="auto"/>
        <w:ind w:left="1068"/>
        <w:jc w:val="both"/>
        <w:rPr>
          <w:rFonts w:ascii="Times New Roman" w:eastAsia="Times New Roman" w:hAnsi="Times New Roman"/>
          <w:sz w:val="28"/>
          <w:szCs w:val="28"/>
          <w:lang w:eastAsia="ru-RU"/>
        </w:rPr>
      </w:pPr>
    </w:p>
    <w:p w:rsidR="0095119E" w:rsidRPr="00AC1204" w:rsidRDefault="0047175D" w:rsidP="0095119E">
      <w:pPr>
        <w:pStyle w:val="1"/>
        <w:numPr>
          <w:ilvl w:val="0"/>
          <w:numId w:val="1"/>
        </w:numPr>
        <w:spacing w:before="100" w:beforeAutospacing="1" w:after="100" w:afterAutospacing="1" w:line="360" w:lineRule="auto"/>
        <w:jc w:val="center"/>
        <w:rPr>
          <w:rFonts w:ascii="Times New Roman" w:eastAsia="Times New Roman" w:hAnsi="Times New Roman"/>
          <w:b/>
          <w:sz w:val="28"/>
          <w:szCs w:val="28"/>
          <w:lang w:eastAsia="ru-RU"/>
        </w:rPr>
      </w:pPr>
      <w:r w:rsidRPr="00AC1204">
        <w:rPr>
          <w:rFonts w:ascii="Times New Roman" w:eastAsia="Times New Roman" w:hAnsi="Times New Roman"/>
          <w:b/>
          <w:sz w:val="28"/>
          <w:szCs w:val="28"/>
          <w:lang w:eastAsia="ru-RU"/>
        </w:rPr>
        <w:t>Понятие бухгалтерского баланса в коммерческом банке</w:t>
      </w:r>
    </w:p>
    <w:p w:rsidR="00752D23" w:rsidRDefault="00752D23" w:rsidP="00AC1204">
      <w:pPr>
        <w:spacing w:before="100" w:beforeAutospacing="1" w:after="100" w:afterAutospacing="1" w:line="360" w:lineRule="auto"/>
        <w:ind w:firstLine="42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Под предметом бухгалтерского учета в банках понимаются объекты в виде «А» и «П», что подтверждается статьей 1 п.2 закона «О бухгалтерском учете», который гласит: «Объектами бухгалтерского учета является имущество организации, их обязательства и хозяйственные операции, осуществляемые организациями в процессе их деятельности».</w:t>
      </w:r>
    </w:p>
    <w:p w:rsidR="00752D23" w:rsidRDefault="00752D23"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Активы – средства, на которых основывается ведение хозяйственной (уставной) деятельности банка:</w:t>
      </w:r>
    </w:p>
    <w:p w:rsidR="00752D23" w:rsidRDefault="00752D23"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денежные средства и драгоценные металлы;</w:t>
      </w:r>
    </w:p>
    <w:p w:rsidR="00CA64DA" w:rsidRDefault="00752D23"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ценные бумаги</w:t>
      </w:r>
      <w:r w:rsidR="00CA64DA">
        <w:rPr>
          <w:rFonts w:ascii="Times New Roman" w:eastAsia="Times New Roman" w:hAnsi="Times New Roman"/>
          <w:sz w:val="28"/>
          <w:szCs w:val="28"/>
          <w:lang w:eastAsia="ru-RU"/>
        </w:rPr>
        <w:t xml:space="preserve"> и финансовые вложения;</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депозиты размещенные;</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кредиты предоставленные;</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учтенные векселя (приобретенные);</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дебиторская задолженность;</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имущество банка;</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расходы банка.</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 xml:space="preserve">Пассивы – источники, за счет которых образуются и возникают средства </w:t>
      </w:r>
      <w:r w:rsidR="00752D2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для осуществления деятельности: Уставный капитал, добавочный капитал, прочие фонды, прибыль, кредиты полученные, депозиты привлеченные, выпущенные векселя и т.д.</w:t>
      </w:r>
    </w:p>
    <w:p w:rsidR="00CA64DA"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t>Под банковской операцией понимается каждый совершающийся факт, оформленный документ и влияющий на изменения в составе «А» и «П» или одновременно и в «А» и в «П».</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Совокупность способов и приемов, используемых для правильной организации и ведения бухгалтерского учета, называется методом бухгалтерского учета.</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его состав включается следующие элементы:</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документация</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инвентаризация</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счета</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двойная запись</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баланс</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отчетность</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Документ – письменное свидетельство о совершенной хозяйственной операции, придающее юридическую силу данным бухгалтерского учета.</w:t>
      </w:r>
    </w:p>
    <w:p w:rsidR="00CA64DA" w:rsidRDefault="00CA64DA"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Документация выполняет роль импульса, дающего начало движению учетной информации. Она обеспечивает бухгалтерскому учету сплошное и непрерывное </w:t>
      </w:r>
      <w:r w:rsidR="009E2F1F">
        <w:rPr>
          <w:rFonts w:ascii="Times New Roman" w:eastAsia="Times New Roman" w:hAnsi="Times New Roman"/>
          <w:sz w:val="28"/>
          <w:szCs w:val="28"/>
          <w:lang w:eastAsia="ru-RU"/>
        </w:rPr>
        <w:t>отражение уставной деятельности банка.</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учету принимается только правильно оформленные документы, а именно те, в которых заполнены все реквизиты – обязательные показатели, обеспечивающие им силу закона.</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Инвентаризация – позволяет путем проверки, в натуральной форме материальных ценностей, основных и денежных средств, драгоценных металлов, требований и обязательств, выявить их фактическое состояние.</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Счета бухгалтерского учета предназначены для группировки и текущего учета однородных банковских операций. На каждый вид средств и их источников (ресурсов) открывается отдельный счет.</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Различают два вида счетов: активные и пассивные.</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Название они получили от названых частей баланса и отражают их содержание. Так, активные счета предназначены для учета средств банка по их составу и размещению, его расходов, а пассивные – для учета источников образования средств (ресурсов) по их целевому назначению, любого вида кредиторской задолженности, его доходов.</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Баланс, как элемент метода бухгалтерского учета представляет собой сгруппированный поток информации о ресурсах и средствах банка.</w:t>
      </w:r>
    </w:p>
    <w:p w:rsidR="009E2F1F"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Баланс (с франц.) – весы, означает уравновешивание, равновесие.</w:t>
      </w:r>
    </w:p>
    <w:p w:rsidR="00864117" w:rsidRDefault="009E2F1F"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Таблица баланса состоит из двух частей: Актив – характеризует состояние и размещение средств банка; Пассив – состояние ресурсов тех же средств и их целевое назначение на определенную</w:t>
      </w:r>
      <w:r w:rsidR="00864117">
        <w:rPr>
          <w:rFonts w:ascii="Times New Roman" w:eastAsia="Times New Roman" w:hAnsi="Times New Roman"/>
          <w:sz w:val="28"/>
          <w:szCs w:val="28"/>
          <w:lang w:eastAsia="ru-RU"/>
        </w:rPr>
        <w:t xml:space="preserve"> дату, значит, денежному выражению источников должно соответствовать денежное выражение средств, т.е. при заполнении баланса, необходимо обязательно добиться равенства указанных величин.</w:t>
      </w:r>
    </w:p>
    <w:p w:rsidR="00864117" w:rsidRDefault="00864117"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Сумма статей Актива должна быть равна сумме статей Пассива баланса.</w:t>
      </w:r>
    </w:p>
    <w:p w:rsidR="009E2F1F" w:rsidRDefault="00864117"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отличие от других хозяйственных субъектов, банки ежедневно составляют формы отчетности «Операционный день»</w:t>
      </w:r>
      <w:r w:rsidR="009E2F1F">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 целью оперативного контроля, управления и анализа своей деятельности.</w:t>
      </w:r>
    </w:p>
    <w:p w:rsidR="00864117" w:rsidRDefault="00864117" w:rsidP="00CA64DA">
      <w:pPr>
        <w:spacing w:before="100" w:beforeAutospacing="1" w:after="100" w:afterAutospacing="1" w:line="360" w:lineRule="auto"/>
        <w:ind w:firstLine="708"/>
        <w:jc w:val="both"/>
        <w:rPr>
          <w:rFonts w:ascii="Times New Roman" w:eastAsia="Times New Roman" w:hAnsi="Times New Roman"/>
          <w:sz w:val="28"/>
          <w:szCs w:val="28"/>
          <w:lang w:eastAsia="ru-RU"/>
        </w:rPr>
      </w:pPr>
    </w:p>
    <w:p w:rsidR="00CA64DA" w:rsidRPr="0095119E" w:rsidRDefault="00CA64DA" w:rsidP="0095119E">
      <w:pPr>
        <w:spacing w:before="100" w:beforeAutospacing="1" w:after="100" w:afterAutospacing="1" w:line="360" w:lineRule="auto"/>
        <w:jc w:val="both"/>
        <w:rPr>
          <w:rFonts w:ascii="Times New Roman" w:eastAsia="Times New Roman" w:hAnsi="Times New Roman"/>
          <w:sz w:val="28"/>
          <w:szCs w:val="28"/>
          <w:lang w:eastAsia="ru-RU"/>
        </w:rPr>
      </w:pPr>
    </w:p>
    <w:p w:rsidR="00864117" w:rsidRPr="00F9174E" w:rsidRDefault="00864117" w:rsidP="00F9174E">
      <w:pPr>
        <w:pStyle w:val="1"/>
        <w:numPr>
          <w:ilvl w:val="0"/>
          <w:numId w:val="1"/>
        </w:numPr>
        <w:spacing w:before="100" w:beforeAutospacing="1" w:after="100" w:afterAutospacing="1" w:line="360" w:lineRule="auto"/>
        <w:jc w:val="center"/>
        <w:rPr>
          <w:rFonts w:ascii="Times New Roman" w:eastAsia="Times New Roman" w:hAnsi="Times New Roman"/>
          <w:b/>
          <w:sz w:val="28"/>
          <w:szCs w:val="28"/>
          <w:lang w:eastAsia="ru-RU"/>
        </w:rPr>
      </w:pPr>
      <w:r w:rsidRPr="00AC1204">
        <w:rPr>
          <w:rFonts w:ascii="Times New Roman" w:eastAsia="Times New Roman" w:hAnsi="Times New Roman"/>
          <w:b/>
          <w:sz w:val="28"/>
          <w:szCs w:val="28"/>
          <w:lang w:eastAsia="ru-RU"/>
        </w:rPr>
        <w:t>Вложения банка в государственные ценные бумаги</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Для учета дилерских операций Банка России с ГКО, т.е. операций по покупке или перепродаже ценных бумаг от своего имени, за свой счет и по собственной инициативе, используются счет «Долговые обязательства Российской Федерации» № 501, на котором открываются лицевые счета «Государственные краткосрочные облигации». По дебету этого счета отражается стоимость приобретенных Банком России ГКО, а по кредиту - стоимость перепроданных или погашенных облигаций. Стоимость облигаций отражается на этом счете по цене приобретения, продажи или по номиналу в случае погашения.</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Оценка приобретенных ГКО, отраженная по дебету счета №501 не остается постоянной, а периодически меняется в связи с переоценкой. Она проводится в дни проведения аукциона или торгов на вторичном рынке. Переоценка производится по средневзвешенной цене аукциона или цене последней сделки на торгах ММВБ за соответствующий день («цена закрытия» вторичного рынка).</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Для учета операций по переоценке используются счета № 61307 «Переоценка ценных бумаг на ОРЦБ - положительные разницы» и № 61407 «Переоценка ценных бумаг на ОРЦБ - отрицательные разницы». В корреспонденции со счетом №501 по дебету счета №61407 отражаются суммы уменьшения балансовой стоимости ценных бумаг, а по кредиту счета №61307 - ее увеличение. Финансовые результаты от операции переоценки по этим счетам определяются в последний рабочий день месяца. Кредитовое сальдо балансового счета № 61307 относится в кредит счета № 70102 «Доходы, полученные от операций с ценными бумагами», а дебетовое сальдо - в дебет счета № 70204 «Расходы по</w:t>
      </w:r>
      <w:r>
        <w:rPr>
          <w:rFonts w:ascii="MS Sans Serif" w:hAnsi="MS Sans Serif"/>
          <w:sz w:val="28"/>
          <w:szCs w:val="28"/>
        </w:rPr>
        <w:t xml:space="preserve"> операциям с ценными бумагами».</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Организация учета операций с ОФЗ подобна организации этого учета с ГКО, подробно рассмотренной выше. Определенная специфика учета связана с необходимостью учитывать купонный доход, так как доходом по ОФЗ является как дисконт, так и купонный доход. (При покупке ОФЗ покупатель уплачивает продавцу кроме цены за облигацию дополнительно накопленный купонный доход за время от даты начала купонного периода до даты исполнения заключенной сделки. Началом купонного периода считается день, следующий за датой выпуска облигации, или день, следующий за датой выплаты предыдущего купонного дохода. Накопленный купонный доход рассчитывается от стоимости купонного дохода как часть, пропорциональная количеству дней, прошедших от начала купонного периода).</w:t>
      </w:r>
      <w:r w:rsidRPr="00864117">
        <w:rPr>
          <w:rFonts w:ascii="MS Sans Serif" w:hAnsi="MS Sans Serif"/>
          <w:sz w:val="28"/>
          <w:szCs w:val="28"/>
        </w:rPr>
        <w:br/>
        <w:t>Для учета купонного дохода в балансе Банка России используются счета:</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61305 - Полученный авансом накопленный процентный (купонный) доход по процентным (купонным) долговым обязательствам;</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61405 - Уплаченный авансом накопленный процентный (купонный) доход по процентным (купонным) долговым обязательствам.</w:t>
      </w:r>
    </w:p>
    <w:p w:rsidR="00864117" w:rsidRDefault="00864117" w:rsidP="00864117">
      <w:pPr>
        <w:spacing w:line="360" w:lineRule="auto"/>
        <w:ind w:firstLine="426"/>
        <w:jc w:val="both"/>
        <w:rPr>
          <w:rFonts w:ascii="MS Sans Serif" w:hAnsi="MS Sans Serif"/>
          <w:sz w:val="28"/>
          <w:szCs w:val="28"/>
        </w:rPr>
      </w:pPr>
      <w:r w:rsidRPr="00864117">
        <w:rPr>
          <w:rFonts w:ascii="MS Sans Serif" w:hAnsi="MS Sans Serif"/>
          <w:sz w:val="28"/>
          <w:szCs w:val="28"/>
        </w:rPr>
        <w:t>По дебету счета № 61405 учитываются затраты, произведенные на оплату накопленного купонного дохода при приобретении ОФЗ.</w:t>
      </w:r>
    </w:p>
    <w:p w:rsidR="00864117" w:rsidRPr="00864117" w:rsidRDefault="00864117" w:rsidP="00864117">
      <w:pPr>
        <w:spacing w:line="360" w:lineRule="auto"/>
        <w:ind w:firstLine="426"/>
        <w:jc w:val="both"/>
        <w:rPr>
          <w:sz w:val="28"/>
          <w:szCs w:val="28"/>
        </w:rPr>
      </w:pPr>
      <w:r w:rsidRPr="00864117">
        <w:rPr>
          <w:rFonts w:ascii="MS Sans Serif" w:hAnsi="MS Sans Serif"/>
          <w:sz w:val="28"/>
          <w:szCs w:val="28"/>
        </w:rPr>
        <w:t>По кредиту счета № 61305 учитываются суммы, полученные в виде накопленного купонного дохода при перепродаже ранее купленных облигаций на вторичном рынке, а также при погашении купона.</w:t>
      </w:r>
      <w:r w:rsidRPr="00864117">
        <w:rPr>
          <w:rFonts w:ascii="MS Sans Serif" w:hAnsi="MS Sans Serif"/>
          <w:sz w:val="28"/>
          <w:szCs w:val="28"/>
        </w:rPr>
        <w:br/>
        <w:t>При наступлении срока выплаты по купонному доходу ОФЗ</w:t>
      </w:r>
      <w:r>
        <w:rPr>
          <w:rFonts w:ascii="MS Sans Serif" w:hAnsi="MS Sans Serif"/>
          <w:sz w:val="28"/>
          <w:szCs w:val="28"/>
        </w:rPr>
        <w:t>,</w:t>
      </w:r>
      <w:r w:rsidRPr="00864117">
        <w:rPr>
          <w:rFonts w:ascii="MS Sans Serif" w:hAnsi="MS Sans Serif"/>
          <w:sz w:val="28"/>
          <w:szCs w:val="28"/>
        </w:rPr>
        <w:t xml:space="preserve"> все суммы купонного дохода, оприходованные ранее по этому выпуску на балансовых счетах № 61305 и 61405 сальдируются, а результат переносится на балансовый счет № 70102 «Доходы, полученные от операций с ценными бумагами».</w:t>
      </w:r>
    </w:p>
    <w:p w:rsidR="00864117" w:rsidRDefault="00864117"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F9174E" w:rsidRDefault="00F9174E"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F9174E" w:rsidRDefault="00F9174E"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CA042B" w:rsidRDefault="00CA042B"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CA042B" w:rsidRPr="00AC1204" w:rsidRDefault="00E96BEB" w:rsidP="00864117">
      <w:pPr>
        <w:pStyle w:val="1"/>
        <w:spacing w:before="100" w:beforeAutospacing="1" w:after="100" w:afterAutospacing="1" w:line="360" w:lineRule="auto"/>
        <w:ind w:left="786"/>
        <w:jc w:val="both"/>
        <w:rPr>
          <w:rFonts w:ascii="Times New Roman" w:eastAsia="Times New Roman" w:hAnsi="Times New Roman"/>
          <w:b/>
          <w:sz w:val="28"/>
          <w:szCs w:val="28"/>
          <w:lang w:eastAsia="ru-RU"/>
        </w:rPr>
      </w:pPr>
      <w:r w:rsidRPr="00AC1204">
        <w:rPr>
          <w:rFonts w:ascii="Times New Roman" w:eastAsia="Times New Roman" w:hAnsi="Times New Roman"/>
          <w:b/>
          <w:sz w:val="28"/>
          <w:szCs w:val="28"/>
          <w:lang w:eastAsia="ru-RU"/>
        </w:rPr>
        <w:t>Задача</w:t>
      </w:r>
      <w:r w:rsidR="00AC1204">
        <w:rPr>
          <w:rFonts w:ascii="Times New Roman" w:eastAsia="Times New Roman" w:hAnsi="Times New Roman"/>
          <w:b/>
          <w:sz w:val="28"/>
          <w:szCs w:val="28"/>
          <w:lang w:eastAsia="ru-RU"/>
        </w:rPr>
        <w:t>:</w:t>
      </w:r>
    </w:p>
    <w:p w:rsidR="00E96BEB" w:rsidRPr="00E96BEB" w:rsidRDefault="00E96BEB" w:rsidP="00E96BEB">
      <w:pPr>
        <w:numPr>
          <w:ilvl w:val="1"/>
          <w:numId w:val="3"/>
        </w:numPr>
        <w:tabs>
          <w:tab w:val="clear" w:pos="1260"/>
          <w:tab w:val="num" w:pos="851"/>
        </w:tabs>
        <w:spacing w:after="0" w:line="360" w:lineRule="auto"/>
        <w:ind w:left="851" w:hanging="567"/>
        <w:jc w:val="both"/>
        <w:rPr>
          <w:rFonts w:ascii="Times New Roman" w:hAnsi="Times New Roman"/>
          <w:sz w:val="28"/>
          <w:szCs w:val="28"/>
        </w:rPr>
      </w:pPr>
      <w:r w:rsidRPr="00E96BEB">
        <w:rPr>
          <w:rFonts w:ascii="Times New Roman" w:hAnsi="Times New Roman"/>
          <w:sz w:val="28"/>
          <w:szCs w:val="28"/>
        </w:rPr>
        <w:t>Предоставление кредита физическому лицу в размере 150 000 руб из кассы банка на срок 180 дней.</w:t>
      </w:r>
    </w:p>
    <w:p w:rsidR="00E96BEB" w:rsidRDefault="00E96BEB" w:rsidP="00E96BEB">
      <w:pPr>
        <w:pStyle w:val="1"/>
        <w:spacing w:before="100" w:beforeAutospacing="1" w:after="100" w:afterAutospacing="1" w:line="360" w:lineRule="auto"/>
        <w:ind w:left="78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45403-08</w:t>
      </w:r>
    </w:p>
    <w:p w:rsidR="00E96BEB" w:rsidRDefault="00E96BEB" w:rsidP="00E96BEB">
      <w:pPr>
        <w:pStyle w:val="1"/>
        <w:spacing w:before="100" w:beforeAutospacing="1" w:after="100" w:afterAutospacing="1" w:line="360" w:lineRule="auto"/>
        <w:ind w:left="78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30102,40802</w:t>
      </w:r>
    </w:p>
    <w:p w:rsidR="00E96BEB" w:rsidRPr="00E96BEB" w:rsidRDefault="00E96BEB" w:rsidP="00E96BEB">
      <w:pPr>
        <w:numPr>
          <w:ilvl w:val="0"/>
          <w:numId w:val="3"/>
        </w:numPr>
        <w:spacing w:after="0" w:line="360" w:lineRule="auto"/>
        <w:jc w:val="both"/>
        <w:rPr>
          <w:rFonts w:ascii="Times New Roman" w:hAnsi="Times New Roman"/>
          <w:sz w:val="28"/>
          <w:szCs w:val="28"/>
        </w:rPr>
      </w:pPr>
      <w:r w:rsidRPr="00E96BEB">
        <w:rPr>
          <w:rFonts w:ascii="Times New Roman" w:hAnsi="Times New Roman"/>
          <w:sz w:val="28"/>
          <w:szCs w:val="28"/>
        </w:rPr>
        <w:t>Выдача первого транша кредитной линии клиенту – негосударственному коммерческому предприятию на условиях «под лимит выдачи» (внебалансовый счет «Неиспользованные кредитные линии по предоставлению кредитов»).</w:t>
      </w:r>
    </w:p>
    <w:p w:rsidR="00E96BEB" w:rsidRDefault="00E96BEB"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 45201</w:t>
      </w:r>
    </w:p>
    <w:p w:rsidR="00E96BEB" w:rsidRPr="00E96BEB" w:rsidRDefault="00E96BEB" w:rsidP="00864117">
      <w:pPr>
        <w:pStyle w:val="1"/>
        <w:spacing w:before="100" w:beforeAutospacing="1" w:after="100" w:afterAutospacing="1" w:line="360" w:lineRule="auto"/>
        <w:ind w:left="78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91302</w:t>
      </w:r>
    </w:p>
    <w:p w:rsidR="0047175D" w:rsidRDefault="0047175D"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2D5718">
      <w:pPr>
        <w:pStyle w:val="1"/>
        <w:spacing w:before="100" w:beforeAutospacing="1" w:after="100" w:afterAutospacing="1" w:line="360" w:lineRule="auto"/>
        <w:ind w:left="0"/>
        <w:jc w:val="both"/>
        <w:rPr>
          <w:rFonts w:ascii="Times New Roman" w:eastAsia="Times New Roman" w:hAnsi="Times New Roman"/>
          <w:sz w:val="28"/>
          <w:szCs w:val="28"/>
          <w:lang w:eastAsia="ru-RU"/>
        </w:rPr>
      </w:pPr>
    </w:p>
    <w:p w:rsidR="00AC1204" w:rsidRDefault="00AC1204" w:rsidP="0047175D">
      <w:pPr>
        <w:pStyle w:val="1"/>
        <w:spacing w:before="100" w:beforeAutospacing="1" w:after="100" w:afterAutospacing="1" w:line="360" w:lineRule="auto"/>
        <w:ind w:left="786"/>
        <w:jc w:val="both"/>
        <w:rPr>
          <w:rFonts w:ascii="Times New Roman" w:eastAsia="Times New Roman" w:hAnsi="Times New Roman"/>
          <w:sz w:val="28"/>
          <w:szCs w:val="28"/>
          <w:lang w:eastAsia="ru-RU"/>
        </w:rPr>
      </w:pPr>
    </w:p>
    <w:p w:rsidR="00AC1204" w:rsidRDefault="00AC1204" w:rsidP="00AC1204">
      <w:pPr>
        <w:pStyle w:val="1"/>
        <w:spacing w:before="100" w:beforeAutospacing="1" w:after="100" w:afterAutospacing="1" w:line="360" w:lineRule="auto"/>
        <w:ind w:left="786"/>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ЗАКЛЮЧЕНИЕ</w:t>
      </w:r>
    </w:p>
    <w:p w:rsidR="00F9174E" w:rsidRPr="007614E0" w:rsidRDefault="00F9174E" w:rsidP="00F9174E">
      <w:pPr>
        <w:spacing w:before="100" w:beforeAutospacing="1" w:after="100" w:afterAutospacing="1" w:line="360" w:lineRule="auto"/>
        <w:ind w:firstLine="708"/>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Сегодня перед российским рынком ценных бумаг стоит ряд проблем, быстрое и эффективное решение которых послужит толчком к его дальнейшему развитию.</w:t>
      </w:r>
    </w:p>
    <w:p w:rsidR="00F9174E" w:rsidRPr="007614E0"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Это такие задачи, как:</w:t>
      </w:r>
    </w:p>
    <w:p w:rsidR="00F9174E" w:rsidRPr="007614E0"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 контроль за действиями участников рынка ценных бумаг в целях ограничения монополистической деятельности;</w:t>
      </w:r>
    </w:p>
    <w:p w:rsidR="00F9174E" w:rsidRPr="007614E0"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 компьютеризация фондового рынка и создание единого информационного пространства для повышения информированности субъектов рынка;</w:t>
      </w:r>
    </w:p>
    <w:p w:rsidR="00F9174E" w:rsidRPr="007614E0"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 защита интересов инвесторов и в частности необходимость совершенствования процедуры регистрации ценных бумаг и защиты их от подделки;</w:t>
      </w:r>
    </w:p>
    <w:p w:rsidR="00F9174E"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 установление четких мер ответственности государственных и коммерческих структур за нарушение процедуры выпуска и обращения ценных бумаг</w:t>
      </w:r>
      <w:r>
        <w:rPr>
          <w:rFonts w:ascii="Times New Roman" w:eastAsia="Times New Roman" w:hAnsi="Times New Roman"/>
          <w:sz w:val="28"/>
          <w:szCs w:val="28"/>
          <w:lang w:eastAsia="ru-RU"/>
        </w:rPr>
        <w:t>.</w:t>
      </w:r>
    </w:p>
    <w:p w:rsidR="00F9174E" w:rsidRPr="007614E0"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ab/>
      </w:r>
      <w:r w:rsidRPr="007614E0">
        <w:rPr>
          <w:rFonts w:ascii="Times New Roman" w:eastAsia="Times New Roman" w:hAnsi="Times New Roman"/>
          <w:sz w:val="28"/>
          <w:szCs w:val="28"/>
          <w:lang w:eastAsia="ru-RU"/>
        </w:rPr>
        <w:t>К финансовым вложениям относят инвестиции организаций в государственные ценные бумаги (облигации и другие долговые обяза</w:t>
      </w:r>
      <w:r>
        <w:rPr>
          <w:rFonts w:ascii="Times New Roman" w:eastAsia="Times New Roman" w:hAnsi="Times New Roman"/>
          <w:sz w:val="28"/>
          <w:szCs w:val="28"/>
          <w:lang w:eastAsia="ru-RU"/>
        </w:rPr>
        <w:t>тельства), в ценные бумаги и ус</w:t>
      </w:r>
      <w:r w:rsidRPr="007614E0">
        <w:rPr>
          <w:rFonts w:ascii="Times New Roman" w:eastAsia="Times New Roman" w:hAnsi="Times New Roman"/>
          <w:sz w:val="28"/>
          <w:szCs w:val="28"/>
          <w:lang w:eastAsia="ru-RU"/>
        </w:rPr>
        <w:t>тавные капиталы других организаций, а также предоставленные другим организациям займы на территории Российской Федерации и за ее пределами.</w:t>
      </w:r>
    </w:p>
    <w:p w:rsidR="00F9174E" w:rsidRPr="00F9174E" w:rsidRDefault="00F9174E" w:rsidP="00F9174E">
      <w:pPr>
        <w:spacing w:before="100" w:beforeAutospacing="1" w:after="100" w:afterAutospacing="1" w:line="360" w:lineRule="auto"/>
        <w:jc w:val="both"/>
        <w:rPr>
          <w:rFonts w:ascii="Times New Roman" w:eastAsia="Times New Roman" w:hAnsi="Times New Roman"/>
          <w:sz w:val="28"/>
          <w:szCs w:val="28"/>
          <w:lang w:eastAsia="ru-RU"/>
        </w:rPr>
      </w:pPr>
      <w:r w:rsidRPr="007614E0">
        <w:rPr>
          <w:rFonts w:ascii="Times New Roman" w:eastAsia="Times New Roman" w:hAnsi="Times New Roman"/>
          <w:sz w:val="28"/>
          <w:szCs w:val="28"/>
          <w:lang w:eastAsia="ru-RU"/>
        </w:rPr>
        <w:t>Ценная бумага - денежный документ, удостоверяющий имущественное право или отношение займа владельца документа к лицу, вып</w:t>
      </w:r>
      <w:r>
        <w:rPr>
          <w:rFonts w:ascii="Times New Roman" w:eastAsia="Times New Roman" w:hAnsi="Times New Roman"/>
          <w:sz w:val="28"/>
          <w:szCs w:val="28"/>
          <w:lang w:eastAsia="ru-RU"/>
        </w:rPr>
        <w:t>устившему такой документ. К цен</w:t>
      </w:r>
      <w:r w:rsidRPr="007614E0">
        <w:rPr>
          <w:rFonts w:ascii="Times New Roman" w:eastAsia="Times New Roman" w:hAnsi="Times New Roman"/>
          <w:sz w:val="28"/>
          <w:szCs w:val="28"/>
          <w:lang w:eastAsia="ru-RU"/>
        </w:rPr>
        <w:t xml:space="preserve">ным бумагам относят акции акционерных обществ, </w:t>
      </w:r>
      <w:r>
        <w:rPr>
          <w:rFonts w:ascii="Times New Roman" w:eastAsia="Times New Roman" w:hAnsi="Times New Roman"/>
          <w:sz w:val="28"/>
          <w:szCs w:val="28"/>
          <w:lang w:eastAsia="ru-RU"/>
        </w:rPr>
        <w:t>организаций и трудовых коллекти</w:t>
      </w:r>
      <w:r w:rsidRPr="007614E0">
        <w:rPr>
          <w:rFonts w:ascii="Times New Roman" w:eastAsia="Times New Roman" w:hAnsi="Times New Roman"/>
          <w:sz w:val="28"/>
          <w:szCs w:val="28"/>
          <w:lang w:eastAsia="ru-RU"/>
        </w:rPr>
        <w:t>вов, облигации, депозитные сертификаты, векселя.</w:t>
      </w:r>
    </w:p>
    <w:p w:rsidR="00AC1204" w:rsidRDefault="0016096E" w:rsidP="00F9174E">
      <w:pPr>
        <w:pStyle w:val="1"/>
        <w:spacing w:before="100" w:beforeAutospacing="1" w:after="100" w:afterAutospacing="1" w:line="360" w:lineRule="auto"/>
        <w:ind w:left="786"/>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СПИСОК ИСПОЛЬЗУЕМОЙ ЛИТЕРАТУРЫ</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«О бухгалтерском учете» от 21,10,96 в изменении от 23,07,98 : Закон РФ №129-ФЗ//СПС «Консультант+»</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«О банках и банковской деятельности» от 03,02,96( с изменениями от 08,07,99): Закон РФ №394-1// СПС «Консультант+»</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«Правила ведения бухгалтерского учета в кредитных организациях, расположенных на территории РФ», часть 1 от 18,07,97 № 61</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Батракова Л.Г. Экономический анализ деятельности коммерческого банка.- М. «Логос», 2001г</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Козлова Е.П., Галанина Е.Н Бухгалтерский учет в коммерческих банках.- М.Финансы и статистка, 1999</w:t>
      </w:r>
    </w:p>
    <w:p w:rsidR="0016096E" w:rsidRPr="0016096E" w:rsidRDefault="0016096E" w:rsidP="0016096E">
      <w:pPr>
        <w:numPr>
          <w:ilvl w:val="0"/>
          <w:numId w:val="6"/>
        </w:numPr>
        <w:overflowPunct w:val="0"/>
        <w:autoSpaceDE w:val="0"/>
        <w:autoSpaceDN w:val="0"/>
        <w:adjustRightInd w:val="0"/>
        <w:spacing w:after="0" w:line="360" w:lineRule="auto"/>
        <w:ind w:left="714" w:hanging="357"/>
        <w:jc w:val="both"/>
        <w:textAlignment w:val="baseline"/>
        <w:rPr>
          <w:rFonts w:ascii="Times New Roman" w:hAnsi="Times New Roman"/>
          <w:sz w:val="28"/>
        </w:rPr>
      </w:pPr>
      <w:r w:rsidRPr="0016096E">
        <w:rPr>
          <w:rFonts w:ascii="Times New Roman" w:hAnsi="Times New Roman"/>
          <w:sz w:val="28"/>
        </w:rPr>
        <w:t>Ширинская З.Г Нестерова Т.Н Соколинская Н.Э. Бухгалтерский учет и операционная техника в банках.- М. Перспектива Инфра-М, 1998</w:t>
      </w:r>
    </w:p>
    <w:p w:rsidR="0016096E" w:rsidRDefault="0016096E" w:rsidP="0016096E">
      <w:pPr>
        <w:overflowPunct w:val="0"/>
        <w:autoSpaceDE w:val="0"/>
        <w:autoSpaceDN w:val="0"/>
        <w:adjustRightInd w:val="0"/>
        <w:spacing w:after="0" w:line="360" w:lineRule="auto"/>
        <w:ind w:left="360"/>
        <w:textAlignment w:val="baseline"/>
        <w:rPr>
          <w:sz w:val="28"/>
        </w:rPr>
      </w:pPr>
    </w:p>
    <w:p w:rsidR="00F9174E" w:rsidRPr="0047175D" w:rsidRDefault="00F9174E" w:rsidP="00F9174E">
      <w:pPr>
        <w:pStyle w:val="1"/>
        <w:spacing w:before="100" w:beforeAutospacing="1" w:after="100" w:afterAutospacing="1" w:line="360" w:lineRule="auto"/>
        <w:ind w:left="786"/>
        <w:jc w:val="both"/>
        <w:rPr>
          <w:rFonts w:ascii="Times New Roman" w:eastAsia="Times New Roman" w:hAnsi="Times New Roman"/>
          <w:sz w:val="28"/>
          <w:szCs w:val="28"/>
          <w:lang w:eastAsia="ru-RU"/>
        </w:rPr>
      </w:pPr>
    </w:p>
    <w:sectPr w:rsidR="00F9174E" w:rsidRPr="0047175D" w:rsidSect="00F97A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73F1" w:rsidRDefault="005373F1">
      <w:r>
        <w:separator/>
      </w:r>
    </w:p>
  </w:endnote>
  <w:endnote w:type="continuationSeparator" w:id="0">
    <w:p w:rsidR="005373F1" w:rsidRDefault="005373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73F1" w:rsidRDefault="005373F1">
      <w:r>
        <w:separator/>
      </w:r>
    </w:p>
  </w:footnote>
  <w:footnote w:type="continuationSeparator" w:id="0">
    <w:p w:rsidR="005373F1" w:rsidRDefault="005373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562D3"/>
    <w:multiLevelType w:val="hybridMultilevel"/>
    <w:tmpl w:val="26FC0D16"/>
    <w:lvl w:ilvl="0" w:tplc="5E069344">
      <w:start w:val="1"/>
      <w:numFmt w:val="decimal"/>
      <w:lvlText w:val="%1."/>
      <w:lvlJc w:val="left"/>
      <w:pPr>
        <w:tabs>
          <w:tab w:val="num" w:pos="720"/>
        </w:tabs>
        <w:ind w:left="720" w:hanging="360"/>
      </w:pPr>
      <w:rPr>
        <w:rFonts w:hint="default"/>
      </w:rPr>
    </w:lvl>
    <w:lvl w:ilvl="1" w:tplc="103E5672">
      <w:start w:val="1"/>
      <w:numFmt w:val="decimal"/>
      <w:isLgl/>
      <w:lvlText w:val="%2."/>
      <w:lvlJc w:val="left"/>
      <w:pPr>
        <w:tabs>
          <w:tab w:val="num" w:pos="1260"/>
        </w:tabs>
        <w:ind w:left="1260" w:hanging="360"/>
      </w:pPr>
      <w:rPr>
        <w:rFonts w:ascii="Times New Roman" w:eastAsia="Times New Roman" w:hAnsi="Times New Roman" w:cs="Times New Roman"/>
      </w:rPr>
    </w:lvl>
    <w:lvl w:ilvl="2" w:tplc="A5B82C02">
      <w:numFmt w:val="none"/>
      <w:lvlText w:val=""/>
      <w:lvlJc w:val="left"/>
      <w:pPr>
        <w:tabs>
          <w:tab w:val="num" w:pos="360"/>
        </w:tabs>
      </w:pPr>
    </w:lvl>
    <w:lvl w:ilvl="3" w:tplc="B4D25E76">
      <w:numFmt w:val="none"/>
      <w:lvlText w:val=""/>
      <w:lvlJc w:val="left"/>
      <w:pPr>
        <w:tabs>
          <w:tab w:val="num" w:pos="360"/>
        </w:tabs>
      </w:pPr>
    </w:lvl>
    <w:lvl w:ilvl="4" w:tplc="482E96C4">
      <w:numFmt w:val="none"/>
      <w:lvlText w:val=""/>
      <w:lvlJc w:val="left"/>
      <w:pPr>
        <w:tabs>
          <w:tab w:val="num" w:pos="360"/>
        </w:tabs>
      </w:pPr>
    </w:lvl>
    <w:lvl w:ilvl="5" w:tplc="8A48702C">
      <w:numFmt w:val="none"/>
      <w:lvlText w:val=""/>
      <w:lvlJc w:val="left"/>
      <w:pPr>
        <w:tabs>
          <w:tab w:val="num" w:pos="360"/>
        </w:tabs>
      </w:pPr>
    </w:lvl>
    <w:lvl w:ilvl="6" w:tplc="EB96699A">
      <w:numFmt w:val="none"/>
      <w:lvlText w:val=""/>
      <w:lvlJc w:val="left"/>
      <w:pPr>
        <w:tabs>
          <w:tab w:val="num" w:pos="360"/>
        </w:tabs>
      </w:pPr>
    </w:lvl>
    <w:lvl w:ilvl="7" w:tplc="984C0128">
      <w:numFmt w:val="none"/>
      <w:lvlText w:val=""/>
      <w:lvlJc w:val="left"/>
      <w:pPr>
        <w:tabs>
          <w:tab w:val="num" w:pos="360"/>
        </w:tabs>
      </w:pPr>
    </w:lvl>
    <w:lvl w:ilvl="8" w:tplc="A7E69386">
      <w:numFmt w:val="none"/>
      <w:lvlText w:val=""/>
      <w:lvlJc w:val="left"/>
      <w:pPr>
        <w:tabs>
          <w:tab w:val="num" w:pos="360"/>
        </w:tabs>
      </w:pPr>
    </w:lvl>
  </w:abstractNum>
  <w:abstractNum w:abstractNumId="1">
    <w:nsid w:val="13A73174"/>
    <w:multiLevelType w:val="hybridMultilevel"/>
    <w:tmpl w:val="4ECEB9FA"/>
    <w:lvl w:ilvl="0" w:tplc="386AA40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38641936"/>
    <w:multiLevelType w:val="hybridMultilevel"/>
    <w:tmpl w:val="A0C08CB8"/>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nsid w:val="620A67BE"/>
    <w:multiLevelType w:val="hybridMultilevel"/>
    <w:tmpl w:val="440AB124"/>
    <w:lvl w:ilvl="0" w:tplc="103E5672">
      <w:start w:val="1"/>
      <w:numFmt w:val="decimal"/>
      <w:isLgl/>
      <w:lvlText w:val="%1."/>
      <w:lvlJc w:val="left"/>
      <w:pPr>
        <w:tabs>
          <w:tab w:val="num" w:pos="1260"/>
        </w:tabs>
        <w:ind w:left="126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69F1D3F"/>
    <w:multiLevelType w:val="singleLevel"/>
    <w:tmpl w:val="4E6E3632"/>
    <w:lvl w:ilvl="0">
      <w:start w:val="1"/>
      <w:numFmt w:val="decimal"/>
      <w:lvlText w:val="%1."/>
      <w:legacy w:legacy="1" w:legacySpace="0" w:legacyIndent="283"/>
      <w:lvlJc w:val="left"/>
      <w:pPr>
        <w:ind w:left="283" w:hanging="283"/>
      </w:pPr>
    </w:lvl>
  </w:abstractNum>
  <w:abstractNum w:abstractNumId="5">
    <w:nsid w:val="794B0721"/>
    <w:multiLevelType w:val="hybridMultilevel"/>
    <w:tmpl w:val="6F8E06C4"/>
    <w:lvl w:ilvl="0" w:tplc="0419000F">
      <w:start w:val="1"/>
      <w:numFmt w:val="decimal"/>
      <w:lvlText w:val="%1."/>
      <w:lvlJc w:val="left"/>
      <w:pPr>
        <w:tabs>
          <w:tab w:val="num" w:pos="720"/>
        </w:tabs>
        <w:ind w:left="720" w:hanging="360"/>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175D"/>
    <w:rsid w:val="00043401"/>
    <w:rsid w:val="0016096E"/>
    <w:rsid w:val="002D5718"/>
    <w:rsid w:val="00300FB0"/>
    <w:rsid w:val="003424F8"/>
    <w:rsid w:val="0047175D"/>
    <w:rsid w:val="005373F1"/>
    <w:rsid w:val="006E5FED"/>
    <w:rsid w:val="006F138E"/>
    <w:rsid w:val="00752D23"/>
    <w:rsid w:val="007614E0"/>
    <w:rsid w:val="00864117"/>
    <w:rsid w:val="008F1ACB"/>
    <w:rsid w:val="0095119E"/>
    <w:rsid w:val="00972353"/>
    <w:rsid w:val="00974BA4"/>
    <w:rsid w:val="009E2F1F"/>
    <w:rsid w:val="00A068ED"/>
    <w:rsid w:val="00AC1204"/>
    <w:rsid w:val="00BD2F41"/>
    <w:rsid w:val="00BE7759"/>
    <w:rsid w:val="00CA042B"/>
    <w:rsid w:val="00CA64DA"/>
    <w:rsid w:val="00E40A8A"/>
    <w:rsid w:val="00E51B2C"/>
    <w:rsid w:val="00E96BEB"/>
    <w:rsid w:val="00EC1648"/>
    <w:rsid w:val="00F9174E"/>
    <w:rsid w:val="00F9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175D"/>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uiPriority w:val="34"/>
    <w:qFormat/>
    <w:rsid w:val="0047175D"/>
    <w:pPr>
      <w:ind w:left="720"/>
      <w:contextualSpacing/>
    </w:pPr>
  </w:style>
  <w:style w:type="paragraph" w:styleId="a3">
    <w:name w:val="Normal (Web)"/>
    <w:basedOn w:val="a"/>
    <w:uiPriority w:val="99"/>
    <w:semiHidden/>
    <w:unhideWhenUsed/>
    <w:rsid w:val="0047175D"/>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header"/>
    <w:basedOn w:val="a"/>
    <w:rsid w:val="006F138E"/>
    <w:pPr>
      <w:tabs>
        <w:tab w:val="center" w:pos="4677"/>
        <w:tab w:val="right" w:pos="9355"/>
      </w:tabs>
    </w:pPr>
  </w:style>
  <w:style w:type="character" w:styleId="a5">
    <w:name w:val="page number"/>
    <w:basedOn w:val="a0"/>
    <w:rsid w:val="006F13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2394</Words>
  <Characters>15942</Characters>
  <Application>Microsoft Office Word</Application>
  <DocSecurity>0</DocSecurity>
  <Lines>377</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2008-11-27T07:22:00Z</cp:lastPrinted>
  <dcterms:created xsi:type="dcterms:W3CDTF">2016-12-15T08:22:00Z</dcterms:created>
  <dcterms:modified xsi:type="dcterms:W3CDTF">2016-12-15T08:22:00Z</dcterms:modified>
</cp:coreProperties>
</file>