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68A" w:rsidRDefault="0096168A">
      <w:pPr>
        <w:rPr>
          <w:rStyle w:val="apple-style-span"/>
          <w:rFonts w:ascii="Arial" w:hAnsi="Arial" w:cs="Arial"/>
          <w:color w:val="000000"/>
          <w:sz w:val="28"/>
          <w:szCs w:val="28"/>
        </w:rPr>
      </w:pPr>
      <w:bookmarkStart w:id="0" w:name="_GoBack"/>
      <w:bookmarkEnd w:id="0"/>
    </w:p>
    <w:p w:rsidR="009F1C35" w:rsidRDefault="00A207EB">
      <w:r>
        <w:rPr>
          <w:rStyle w:val="apple-style-span"/>
          <w:rFonts w:ascii="Arial" w:hAnsi="Arial" w:cs="Arial"/>
          <w:color w:val="000000"/>
          <w:sz w:val="28"/>
          <w:szCs w:val="28"/>
        </w:rPr>
        <w:t>Доходы банка: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1. Процентные доходы: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средствам, размещенными в НБУ;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средствам, размещенными в других банках;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кредитам субъектам хозяйственной деятельности;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кредитам органам общего государственного управления;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кредитам физическим лицам;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С ценными бумагами;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операциям с филиалами и другими учреждениями банка;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Другие процентные доходы.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2. Комиссионные доходы: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операциям с банками;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операциям с клиентами;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операциям с филиалами и другими учреждениями банка.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3. Результат от торговых операций.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4. Другие банковские операционные доходы.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Дивидендный доход;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операциям с филиалами и другими учреждениями банка;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Другие банковские операционные доходы.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5. Другие небанковские операционные доходы: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По операциям с филиалами и другими учреждениями банка;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Другие небанковские операционные доходы.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6. Уменьшение резервов по задолженности.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7. Непредвиденные доходы.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Доход от операций с ценными бумагами может состоять из дисконта и купона, но до процентного дохода по долговым ценным бумагам включаются только проценты, которые были начислены за такими ценными бумагами после их приобретения.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Процентные доходы целесообразно классифицировать по следующим критериям: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Срочность;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Резидент / нерезидент;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Финансовый инструмент (депозиты, кредиты или ценные бумаги).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К процентного также входит доход по срочным депозитам, размещенных в других банках. Значения составляющих процентного дохода может меняться ежегодно в зависимости от изменений процентных ставок и спроса на кредиты, но доход по кредитам практически всегда остается важным для каждого банка. Проценты и приравненные к ним комиссии должны учитываться регулярно не реже одного раза в месяц, как правило, в последний его день, независимо от периодичности расчетов, которая указана в договоре с контрагентом.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Комиссионные - это доходы за всеми услугами, предоставляемыми контрагентам, кроме комиссионных, что подобные по природе до процентов.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К категории комиссионных относятся: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Комиссионные за гарантии размещения займов от имени других кредиторов и по операциям с ценными бумагами;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Комиссионные доходы от операций за расчетно-кассовое обслуживание, обслуживание кредитных счетов, за хранение ценностей и осуществления операций с ценными бумагами;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Комиссионные за проведение операций с иностранной валютой и за продажу или покупку монет и драгоценных металлов для третьих сторон;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Прочие комиссионные доходы по операциям, которые определяются Законом Украины "О банках и банковской деятельности".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Торговые доходы - это чистые доходы от операций купли-продажи различных финансовых инструментов. К ним относятся: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Чистые доходы от деятельности на валютном рынке и рынке банковских металлов;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Чистые доходы от операций с ценными бумагами на продажу;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Чистые доходы от торговли другими финансовыми инструментами.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Другие банковских операционных доходов относятся те, которые не включены в перечисленные выше группы. К ним относятся доходы от ценных бумаг с непредсказуемым доходом: дивиденды от акций, которые сохраняются как объект торговли и капиталовложений.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В последнее время банкиры поставили цель сделать непроцентные поступления основным источником будущих банковских доходов. Это даст возможность улучшить итоговые характеристики работы коммерческих банков, диверсифицировать источники доходов и надежнее защитить банки от колебания процентных ставок.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Небанковскими операционными доходами считаются доходы, не касающихся основной деятельности банка, но обеспечивают ее осуществления (доходы от продажи основных средств - от арендных операций), доходы от продажи отдельных небанковских услуг (аудиторские услуги, программное обеспечение, консультации не финансового характера и т.д.) и других операций.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Непредвиденными считаются доходы, которые по смыслу соответствуют следующим признакам: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Возникающие в случае чрезвычайных происшествий и имеют одноразовый характер - прибыль будет определен только по факту событий;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- Не повторяются по существу (например, возникших из-за изменений в правилах бухгалтерского учета активов и пассивов).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apple-style-span"/>
          <w:rFonts w:ascii="Arial" w:hAnsi="Arial" w:cs="Arial"/>
          <w:color w:val="000000"/>
          <w:sz w:val="28"/>
          <w:szCs w:val="28"/>
        </w:rPr>
        <w:t>Непредвиденные доходы не могут быть приняты во внимание для финансовой оценки банка.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000000"/>
          <w:sz w:val="28"/>
          <w:szCs w:val="28"/>
        </w:rPr>
        <w:br/>
      </w:r>
    </w:p>
    <w:p w:rsidR="00A207EB" w:rsidRDefault="00A207EB" w:rsidP="00A207EB">
      <w:pPr>
        <w:pStyle w:val="a3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b/>
          <w:bCs/>
          <w:i/>
          <w:iCs/>
          <w:color w:val="000000"/>
          <w:sz w:val="26"/>
          <w:szCs w:val="26"/>
        </w:rPr>
        <w:t>Финансовый менеджмент в коммерческом банке</w:t>
      </w:r>
      <w:r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>
        <w:rPr>
          <w:rFonts w:ascii="Arial" w:hAnsi="Arial" w:cs="Arial"/>
          <w:color w:val="000000"/>
          <w:sz w:val="26"/>
          <w:szCs w:val="26"/>
        </w:rPr>
        <w:t>-- это управление процессами формирования и использования денежных ресурсов. Он тесно связан с организационно-технологическим менеджментом -- управлением банковскими подразделениями, их взаимоотношениями в различных процессах банковской деятельности, в том числе управлением персоналом банка. Наряду с проблемами финансового, организационно-технологического характера в коммерческом банке большое значение имеют проблемы информационного и логико-аналитического обеспечения финансового менеджмента коммерческого банка, оптимизации деятельности коммерческого банка как хозяйствующего субъекта и оптимизации технологических процессов и организационных структур. Последние относятся к проблемам системного анализа (исследования операций, информатики).</w:t>
      </w:r>
    </w:p>
    <w:p w:rsidR="00A207EB" w:rsidRDefault="00A207EB" w:rsidP="00A207EB">
      <w:pPr>
        <w:pStyle w:val="a3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b/>
          <w:bCs/>
          <w:i/>
          <w:iCs/>
          <w:color w:val="000000"/>
          <w:sz w:val="26"/>
          <w:szCs w:val="26"/>
        </w:rPr>
        <w:t>Цели и задачи финансового менеджмента в коммерческом банке</w:t>
      </w:r>
      <w:r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>
        <w:rPr>
          <w:rFonts w:ascii="Arial" w:hAnsi="Arial" w:cs="Arial"/>
          <w:color w:val="000000"/>
          <w:sz w:val="26"/>
          <w:szCs w:val="26"/>
        </w:rPr>
        <w:t>--определение рациональных требований и методических основ построения оптимальных организационных структур и режимов деятельности функционально-технологических систем, обеспечивающих планирование и реализацию финансовых операций банка и поддерживающих его устойчивость при заданных параметрах, планирование финансовой деятельности банка и управление процессами привлечения и размещения денежных средств.</w:t>
      </w:r>
    </w:p>
    <w:p w:rsidR="00A207EB" w:rsidRDefault="00A207EB" w:rsidP="00A207EB">
      <w:pPr>
        <w:pStyle w:val="a3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>В цели и задачи финансового менеджмента в коммерческом банке не включены следующие блоки банковской деятельности: бухгалтерский учет и отчетность, валютное регулирование, банковское право, директивная отчетность и управление экономическими нормативами, включая обязательное резервирование и создание резервов под обесценение операций с ценными бумагами и выдаваемых кредитов. Это объясняется тем, что всё вышеперечисленное является директивными нормами, которые введены на уровне государства (ЦБ РФ, Минфин РФ и т.п.), и не подлежат управлению с использованием внутренних и внешних резервов банка, которые ему предоставляют внешние условия банковской деятельности.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Траст-операции коммерческих банков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 чисто формальной точки зрения выполнение траст-операций можно отнести к посреднической (агентской) деятельности, осуществляемой за комиссионное вознаграждение. Однако это лишь одна из сторон траст-деятельности, которая в развитых странах стала составным элементом экономического механизма.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Услугами траст-отделов банков (как и траст-компаний) пользуются частные лица, фирмы, </w:t>
      </w:r>
      <w:hyperlink r:id="rId5" w:tgtFrame="_blank" w:history="1">
        <w:r w:rsidRPr="00A207EB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благотворительные фонды</w:t>
        </w:r>
      </w:hyperlink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и иные общественные организации. Банки заинтересованы в предоставлении траст-услуг как можно большему кругу различных клиентов. И в первую очередь — крупным корпорациям, так как в этом случае банк становится органом, представляющим интересы своего доверителя, в том числе на собраниях акционеров, и может влиять на деятельность компании, проводить реорганизацию и тд.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отношении более мелких собственников передача имущества клиента банку в управление по доверенности дает право банку распоряжаться собственностью, кроме присвоения дохода от нее, </w:t>
      </w:r>
      <w:hyperlink r:id="rId6" w:tgtFrame="_blank" w:history="1">
        <w:r w:rsidRPr="00A207EB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инвестировать средства</w:t>
        </w:r>
      </w:hyperlink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в ценные бумаги с получением права голоса по акциям в пределах, устанавливаемых в законодательном порядке либо в соответствии с положениями уставов акционерных обществ, акции которых приобретаются траст-отделами.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целом коммерческие банки могут осуществлять следующие операции по доверенности своих клиентов: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выполнение операций по доверенности для частных лиц, в том числе управление имуществом в'виде акций и иных фондовых ценностей, недвижимости и прочего имущества, переданного на ответственное хранение или по завещанию;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выполнение доверительных функций но поручению акционерных обществ;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оказание агентских услуг для частных лиц, фирм и иных организаций.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процессе осуществления указанных операций коммерческий банк может: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выступать в качестве агента по облигационным займам и другим ценным бумагам от имени их держателей по доверенности (например, осуществлять получение дохода в виде дивидендов или процентов), по уплате налогов и страховых взносов по прода-' же и покупке собственности на доверенные средства; по открытию и ведению траст-счетов;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осуществлять распоряжение наследством (в том числе распоряжение по завещанию суммой акционерного счета и доходом по акциям);  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временно управлять делами корпораций при их реорганизации, банкротстве или иных обстоятельствах;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представлять интересы доверителей на собраниях акционеров;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выступать в качестве институционального инвестора — покупателя ценных бумаг.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практике деятельности траст-отделов банков принято разделять доверительные операции в силу их специфики на две группы: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1)         доверительные операции для физических лиц (управление по доверенности или завещанию имуществом физических лиц);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2)         доверительные операции для юридических лиц (фирм, организаций).</w:t>
      </w:r>
    </w:p>
    <w:p w:rsidR="00A207EB" w:rsidRPr="00A207EB" w:rsidRDefault="00A207EB" w:rsidP="00A207E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207E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Иногда особо выделяют доверительные операции траст-отделов банков для благотворительных компаний, учебных организаций, фондов и иных организаций.</w:t>
      </w:r>
    </w:p>
    <w:p w:rsidR="00A207EB" w:rsidRDefault="00A207EB"/>
    <w:sectPr w:rsidR="00A207EB" w:rsidSect="009F1C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207EB"/>
    <w:rsid w:val="000F7C83"/>
    <w:rsid w:val="001C4584"/>
    <w:rsid w:val="00200999"/>
    <w:rsid w:val="004B2022"/>
    <w:rsid w:val="006D338D"/>
    <w:rsid w:val="00752C89"/>
    <w:rsid w:val="0096168A"/>
    <w:rsid w:val="009F1C35"/>
    <w:rsid w:val="00A207EB"/>
    <w:rsid w:val="00B261CD"/>
    <w:rsid w:val="00EE6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C3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A207EB"/>
  </w:style>
  <w:style w:type="character" w:customStyle="1" w:styleId="apple-converted-space">
    <w:name w:val="apple-converted-space"/>
    <w:basedOn w:val="a0"/>
    <w:rsid w:val="00A207EB"/>
  </w:style>
  <w:style w:type="paragraph" w:styleId="a3">
    <w:name w:val="Normal (Web)"/>
    <w:basedOn w:val="a"/>
    <w:uiPriority w:val="99"/>
    <w:semiHidden/>
    <w:unhideWhenUsed/>
    <w:rsid w:val="00A207E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207E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click02.begun.ru/click.jsp?url=O5t5NH51dHUJAf8NUUYsOBXfaDb7Ropxpo8UGGkV7n-k-G*4fk3jU-Y*iI1-KsgHc7sGTlzVen7OPjX7VoWPk4iw3m4EiD3aKpYsvqw6TJpafYyt9LjMBoO86yNTkIKL0Wh13ggzkl6*VAQUr9fADY1U2yeDGQ3hXqCKhZoOqF4On**CADxmJqP945YFwcTMDd90-lED-CAl8CVI87LPcZl00SUcr1oRyWPFGegcY4svk4GW8WIjZaEELE7HAIrdWBrly1cR8EBgmqy4OQT-FXU6NRhU3*mj-8B4LFqbKAySRj-T*sJCMsCwhy9J4FCr06RvbdKsU7rAuiy8muSW6-7Q3aPdVyQsWlDSIVY5wfQh07mEJO2PSsWRZ6NJ0hjDbizQW9uLQD4vIFmtx4VvfJyRkH4b*6Zif-gjTdDDSqFa2OTQdUgPJ1sBFhJ2XZME6MOIx0yeF30UaRiK" TargetMode="External"/><Relationship Id="rId5" Type="http://schemas.openxmlformats.org/officeDocument/2006/relationships/hyperlink" Target="http://click02.begun.ru/click.jsp?url=O5t5NPz6*-oeXLxCHgljd1qQJ3kYZUU1K0UcNxku1GqNPItEnFr9QCblZ9vOdZGOCNflk2GZidhkx08NztQTQVXrWzYCjBxon56KdK4sTNrdreaQj9XmVEbnaRGo1rD3ry9GznU8hin9U9sVogjofpbVPN18BLnzIydBS6BeXGNSMWSas5by73DJN2jhV7BbIn-eKlyLtf45Uho2PM6fsjt9-iJmdJuRc-*EhhW2ImElJ22pskq4-8JXuzALbCw14qvYcrww*wTDyrqbmpikG9ArLR4vLiAiJYG75H1oiNX5LCdnQBbOiIF0JAwJKna7UfI*KY1keKh1*o*PegAZ34eDYdsk8jpwAOceC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1125</Words>
  <Characters>7805</Characters>
  <Application>Microsoft Office Word</Application>
  <DocSecurity>0</DocSecurity>
  <Lines>163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8975</CharactersWithSpaces>
  <SharedDoc>false</SharedDoc>
  <HLinks>
    <vt:vector size="12" baseType="variant">
      <vt:variant>
        <vt:i4>7864427</vt:i4>
      </vt:variant>
      <vt:variant>
        <vt:i4>3</vt:i4>
      </vt:variant>
      <vt:variant>
        <vt:i4>0</vt:i4>
      </vt:variant>
      <vt:variant>
        <vt:i4>5</vt:i4>
      </vt:variant>
      <vt:variant>
        <vt:lpwstr>http://click02.begun.ru/click.jsp?url=O5t5NH51dHUJAf8NUUYsOBXfaDb7Ropxpo8UGGkV7n-k-G*4fk3jU-Y*iI1-KsgHc7sGTlzVen7OPjX7VoWPk4iw3m4EiD3aKpYsvqw6TJpafYyt9LjMBoO86yNTkIKL0Wh13ggzkl6*VAQUr9fADY1U2yeDGQ3hXqCKhZoOqF4On**CADxmJqP945YFwcTMDd90-lED-CAl8CVI87LPcZl00SUcr1oRyWPFGegcY4svk4GW8WIjZaEELE7HAIrdWBrly1cR8EBgmqy4OQT-FXU6NRhU3*mj-8B4LFqbKAySRj-T*sJCMsCwhy9J4FCr06RvbdKsU7rAuiy8muSW6-7Q3aPdVyQsWlDSIVY5wfQh07mEJO2PSsWRZ6NJ0hjDbizQW9uLQD4vIFmtx4VvfJyRkH4b*6Zif-gjTdDDSqFa2OTQdUgPJ1sBFhJ2XZME6MOIx0yeF30UaRiK</vt:lpwstr>
      </vt:variant>
      <vt:variant>
        <vt:lpwstr/>
      </vt:variant>
      <vt:variant>
        <vt:i4>2424870</vt:i4>
      </vt:variant>
      <vt:variant>
        <vt:i4>0</vt:i4>
      </vt:variant>
      <vt:variant>
        <vt:i4>0</vt:i4>
      </vt:variant>
      <vt:variant>
        <vt:i4>5</vt:i4>
      </vt:variant>
      <vt:variant>
        <vt:lpwstr>http://click02.begun.ru/click.jsp?url=O5t5NPz6*-oeXLxCHgljd1qQJ3kYZUU1K0UcNxku1GqNPItEnFr9QCblZ9vOdZGOCNflk2GZidhkx08NztQTQVXrWzYCjBxon56KdK4sTNrdreaQj9XmVEbnaRGo1rD3ry9GznU8hin9U9sVogjofpbVPN18BLnzIydBS6BeXGNSMWSas5by73DJN2jhV7BbIn-eKlyLtf45Uho2PM6fsjt9-iJmdJuRc-*EhhW2ImElJ22pskq4-8JXuzALbCw14qvYcrww*wTDyrqbmpikG9ArLR4vLiAiJYG75H1oiNX5LCdnQBbOiIF0JAwJKna7UfI*KY1keKh1*o*PegAZ34eDYdsk8jpwAOceC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2010-12-18T11:17:00Z</cp:lastPrinted>
  <dcterms:created xsi:type="dcterms:W3CDTF">2016-12-13T17:38:00Z</dcterms:created>
  <dcterms:modified xsi:type="dcterms:W3CDTF">2016-12-13T17:38:00Z</dcterms:modified>
</cp:coreProperties>
</file>