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D38" w:rsidRDefault="008E4D38" w:rsidP="005D503D">
      <w:pPr>
        <w:ind w:left="708"/>
        <w:jc w:val="both"/>
        <w:rPr>
          <w:color w:val="333333"/>
          <w:sz w:val="28"/>
          <w:szCs w:val="28"/>
        </w:rPr>
      </w:pPr>
      <w:bookmarkStart w:id="0" w:name="_GoBack"/>
      <w:bookmarkEnd w:id="0"/>
    </w:p>
    <w:p w:rsidR="005D503D" w:rsidRDefault="005D503D" w:rsidP="005D503D">
      <w:pPr>
        <w:ind w:left="708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Определение страхования и назвать его функции</w:t>
      </w:r>
    </w:p>
    <w:p w:rsidR="005D503D" w:rsidRDefault="005D503D" w:rsidP="005D503D">
      <w:pPr>
        <w:pStyle w:val="a4"/>
        <w:ind w:left="708"/>
        <w:jc w:val="both"/>
        <w:rPr>
          <w:sz w:val="28"/>
          <w:szCs w:val="28"/>
        </w:rPr>
      </w:pPr>
      <w:r w:rsidRPr="00E97235">
        <w:rPr>
          <w:b/>
          <w:bCs/>
          <w:sz w:val="28"/>
          <w:szCs w:val="28"/>
        </w:rPr>
        <w:t>Страхование</w:t>
      </w:r>
      <w:r w:rsidRPr="00E97235">
        <w:rPr>
          <w:b/>
          <w:sz w:val="28"/>
          <w:szCs w:val="28"/>
        </w:rPr>
        <w:t> </w:t>
      </w:r>
      <w:r>
        <w:rPr>
          <w:sz w:val="28"/>
          <w:szCs w:val="28"/>
        </w:rPr>
        <w:t>— особый вид экономических отношений, призванный обеспечить страховую защиту людей и их дел от различного рода опасностей.</w:t>
      </w:r>
    </w:p>
    <w:p w:rsidR="005D503D" w:rsidRDefault="005D503D" w:rsidP="005D503D">
      <w:pPr>
        <w:pStyle w:val="a4"/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Выделяют следующие </w:t>
      </w:r>
      <w:r>
        <w:rPr>
          <w:iCs/>
          <w:sz w:val="28"/>
          <w:szCs w:val="28"/>
        </w:rPr>
        <w:t>функции страхования</w:t>
      </w:r>
      <w:r>
        <w:rPr>
          <w:sz w:val="28"/>
          <w:szCs w:val="28"/>
        </w:rPr>
        <w:t>, выражающие общественное назначение этой категории:</w:t>
      </w:r>
    </w:p>
    <w:p w:rsidR="005D503D" w:rsidRPr="00E97235" w:rsidRDefault="005D503D" w:rsidP="005D503D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E97235">
        <w:rPr>
          <w:iCs/>
          <w:sz w:val="28"/>
          <w:szCs w:val="28"/>
        </w:rPr>
        <w:t>Рисковая функция</w:t>
      </w:r>
      <w:r w:rsidRPr="00E97235">
        <w:rPr>
          <w:sz w:val="28"/>
          <w:szCs w:val="28"/>
        </w:rPr>
        <w:t xml:space="preserve">, которая состоит в обеспечении страховой защитой от различного рода </w:t>
      </w:r>
      <w:r w:rsidRPr="002709C1">
        <w:rPr>
          <w:sz w:val="28"/>
          <w:szCs w:val="28"/>
        </w:rPr>
        <w:t>рисков</w:t>
      </w:r>
      <w:r w:rsidRPr="00E97235">
        <w:rPr>
          <w:sz w:val="28"/>
          <w:szCs w:val="28"/>
        </w:rPr>
        <w:t xml:space="preserve"> — случайных событий, ведущих к потерям. В рамках действия этой функции происходит перераспределение денежных ресурсов между всеми участниками страхования. Данная функция отражает основное назначение страхования — защиту от </w:t>
      </w:r>
      <w:r w:rsidRPr="002709C1">
        <w:rPr>
          <w:sz w:val="28"/>
          <w:szCs w:val="28"/>
        </w:rPr>
        <w:t>рисков</w:t>
      </w:r>
      <w:r w:rsidRPr="00E97235">
        <w:rPr>
          <w:sz w:val="28"/>
          <w:szCs w:val="28"/>
        </w:rPr>
        <w:t xml:space="preserve">. </w:t>
      </w:r>
    </w:p>
    <w:p w:rsidR="005D503D" w:rsidRPr="00E97235" w:rsidRDefault="005D503D" w:rsidP="005D503D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E97235">
        <w:rPr>
          <w:iCs/>
          <w:sz w:val="28"/>
          <w:szCs w:val="28"/>
        </w:rPr>
        <w:t>Инвестиционная функция</w:t>
      </w:r>
      <w:r w:rsidRPr="00E97235">
        <w:rPr>
          <w:sz w:val="28"/>
          <w:szCs w:val="28"/>
        </w:rPr>
        <w:t>, которая состоит в том, что за счет временно свободных средств страховых фондов (</w:t>
      </w:r>
      <w:r w:rsidRPr="002709C1">
        <w:rPr>
          <w:sz w:val="28"/>
          <w:szCs w:val="28"/>
        </w:rPr>
        <w:t>страховых резервов</w:t>
      </w:r>
      <w:r w:rsidRPr="00E97235">
        <w:rPr>
          <w:sz w:val="28"/>
          <w:szCs w:val="28"/>
        </w:rPr>
        <w:t xml:space="preserve">) происходит финансирование экономики. Вследствие того, что </w:t>
      </w:r>
      <w:r w:rsidRPr="002709C1">
        <w:rPr>
          <w:sz w:val="28"/>
          <w:szCs w:val="28"/>
        </w:rPr>
        <w:t>страховые компании</w:t>
      </w:r>
      <w:r w:rsidRPr="00E97235">
        <w:rPr>
          <w:sz w:val="28"/>
          <w:szCs w:val="28"/>
        </w:rPr>
        <w:t xml:space="preserve"> накапливают у себя большие суммы денежных средств, которые предназначены на возмещение ущерба, но до тех пор, пока не наступил </w:t>
      </w:r>
      <w:r w:rsidRPr="002709C1">
        <w:rPr>
          <w:sz w:val="28"/>
          <w:szCs w:val="28"/>
        </w:rPr>
        <w:t>страховой случай</w:t>
      </w:r>
      <w:r w:rsidRPr="00E97235">
        <w:rPr>
          <w:sz w:val="28"/>
          <w:szCs w:val="28"/>
        </w:rPr>
        <w:t xml:space="preserve">, они могут быть временно инвестированы в различные </w:t>
      </w:r>
      <w:r w:rsidRPr="002709C1">
        <w:rPr>
          <w:sz w:val="28"/>
          <w:szCs w:val="28"/>
        </w:rPr>
        <w:t>ценные бумаги</w:t>
      </w:r>
      <w:r w:rsidRPr="00E97235">
        <w:rPr>
          <w:sz w:val="28"/>
          <w:szCs w:val="28"/>
        </w:rPr>
        <w:t xml:space="preserve">, </w:t>
      </w:r>
      <w:r w:rsidRPr="002709C1">
        <w:rPr>
          <w:sz w:val="28"/>
          <w:szCs w:val="28"/>
        </w:rPr>
        <w:t>недвижимость</w:t>
      </w:r>
      <w:r w:rsidRPr="00E97235">
        <w:rPr>
          <w:sz w:val="28"/>
          <w:szCs w:val="28"/>
        </w:rPr>
        <w:t xml:space="preserve"> и по другим направлениям. </w:t>
      </w:r>
    </w:p>
    <w:p w:rsidR="005D503D" w:rsidRPr="00E97235" w:rsidRDefault="005D503D" w:rsidP="005D503D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E97235">
        <w:rPr>
          <w:iCs/>
          <w:sz w:val="28"/>
          <w:szCs w:val="28"/>
        </w:rPr>
        <w:t>Предупредительная функция</w:t>
      </w:r>
      <w:r w:rsidRPr="00E97235">
        <w:rPr>
          <w:sz w:val="28"/>
          <w:szCs w:val="28"/>
        </w:rPr>
        <w:t xml:space="preserve"> страхования состоит в том, что за счет части средств страхового фонда финансируются мероприятия по уменьшению </w:t>
      </w:r>
      <w:r w:rsidRPr="002709C1">
        <w:rPr>
          <w:sz w:val="28"/>
          <w:szCs w:val="28"/>
        </w:rPr>
        <w:t>страхового риска</w:t>
      </w:r>
      <w:r w:rsidRPr="00E97235">
        <w:rPr>
          <w:sz w:val="28"/>
          <w:szCs w:val="28"/>
        </w:rPr>
        <w:t xml:space="preserve">. Например, за счет части средств, собранных при </w:t>
      </w:r>
      <w:r w:rsidRPr="002709C1">
        <w:rPr>
          <w:sz w:val="28"/>
          <w:szCs w:val="28"/>
        </w:rPr>
        <w:t>страховании от огня</w:t>
      </w:r>
      <w:r w:rsidRPr="00E97235">
        <w:rPr>
          <w:sz w:val="28"/>
          <w:szCs w:val="28"/>
        </w:rPr>
        <w:t xml:space="preserve">, финансируются противопожарные мероприятия, а также мероприятия, направленные на уменьшение возможного ущерба от </w:t>
      </w:r>
      <w:r w:rsidRPr="002709C1">
        <w:rPr>
          <w:sz w:val="28"/>
          <w:szCs w:val="28"/>
        </w:rPr>
        <w:t>пожара</w:t>
      </w:r>
      <w:r w:rsidRPr="00E97235">
        <w:rPr>
          <w:sz w:val="28"/>
          <w:szCs w:val="28"/>
        </w:rPr>
        <w:t xml:space="preserve">. </w:t>
      </w:r>
    </w:p>
    <w:p w:rsidR="005D503D" w:rsidRPr="00E97235" w:rsidRDefault="005D503D" w:rsidP="005D503D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E97235">
        <w:rPr>
          <w:iCs/>
          <w:sz w:val="28"/>
          <w:szCs w:val="28"/>
        </w:rPr>
        <w:t>Сберегательная функция</w:t>
      </w:r>
      <w:r w:rsidRPr="00E97235">
        <w:rPr>
          <w:sz w:val="28"/>
          <w:szCs w:val="28"/>
        </w:rPr>
        <w:t xml:space="preserve">. В </w:t>
      </w:r>
      <w:r w:rsidRPr="002709C1">
        <w:rPr>
          <w:sz w:val="28"/>
          <w:szCs w:val="28"/>
        </w:rPr>
        <w:t>страховании жизни</w:t>
      </w:r>
      <w:r w:rsidRPr="00E97235">
        <w:rPr>
          <w:sz w:val="28"/>
          <w:szCs w:val="28"/>
        </w:rPr>
        <w:t xml:space="preserve"> категория страхования в наибольшей мере сближается с категорией </w:t>
      </w:r>
      <w:r w:rsidRPr="002709C1">
        <w:rPr>
          <w:sz w:val="28"/>
          <w:szCs w:val="28"/>
        </w:rPr>
        <w:t>кредита</w:t>
      </w:r>
      <w:r w:rsidRPr="00E97235">
        <w:rPr>
          <w:sz w:val="28"/>
          <w:szCs w:val="28"/>
        </w:rPr>
        <w:t xml:space="preserve">, так как происходит накопление по </w:t>
      </w:r>
      <w:r w:rsidRPr="002709C1">
        <w:rPr>
          <w:sz w:val="28"/>
          <w:szCs w:val="28"/>
        </w:rPr>
        <w:t>договорам страхования</w:t>
      </w:r>
      <w:r w:rsidRPr="00E97235">
        <w:rPr>
          <w:sz w:val="28"/>
          <w:szCs w:val="28"/>
        </w:rPr>
        <w:t xml:space="preserve"> определенных страховых сумм. Сбережение денежных сумм, например с помощью </w:t>
      </w:r>
      <w:r w:rsidRPr="002709C1">
        <w:rPr>
          <w:sz w:val="28"/>
          <w:szCs w:val="28"/>
        </w:rPr>
        <w:t>страхования на дожитие</w:t>
      </w:r>
      <w:r w:rsidRPr="00E97235">
        <w:rPr>
          <w:sz w:val="28"/>
          <w:szCs w:val="28"/>
        </w:rPr>
        <w:t xml:space="preserve">, связано с потребностью в страховой защите достигнутого семейного достатка. Тем самым страхование может иметь и сберегательную функцию. </w:t>
      </w:r>
    </w:p>
    <w:p w:rsidR="005D503D" w:rsidRPr="00E97235" w:rsidRDefault="005D503D" w:rsidP="005D503D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r w:rsidRPr="00E97235">
        <w:rPr>
          <w:iCs/>
          <w:sz w:val="28"/>
          <w:szCs w:val="28"/>
        </w:rPr>
        <w:t>Контрольная функция</w:t>
      </w:r>
      <w:r w:rsidRPr="00E97235">
        <w:rPr>
          <w:sz w:val="28"/>
          <w:szCs w:val="28"/>
        </w:rPr>
        <w:t xml:space="preserve"> страхования заключена в строго целевом формировании и использовании средств страхового фонда. Данная функция вытекает из указанных выше и проявляется одновременно с ними в конкретных страховых отношениях, в условиях страхования. В соответствии с контрольной функцией на основании законодательных и инструктивных документов осуществляется финансовый страховой контроль за правильным проведением страховых операций. </w:t>
      </w:r>
    </w:p>
    <w:p w:rsidR="005D503D" w:rsidRPr="00E97235" w:rsidRDefault="005D503D" w:rsidP="005D503D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b/>
        </w:rPr>
      </w:pPr>
      <w:r>
        <w:rPr>
          <w:b/>
          <w:sz w:val="28"/>
          <w:szCs w:val="28"/>
        </w:rPr>
        <w:t>Рейтинг страховых компаний Нижегородской области по величине уставного капитала</w:t>
      </w:r>
    </w:p>
    <w:p w:rsidR="005D503D" w:rsidRDefault="005D503D" w:rsidP="005D503D">
      <w:pPr>
        <w:jc w:val="both"/>
        <w:rPr>
          <w:b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Общество с ограниченной ответственностью страховое общество "Диалог"</w:t>
      </w: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Предлагает следующие страховые продукты:</w:t>
      </w:r>
    </w:p>
    <w:p w:rsidR="005D503D" w:rsidRDefault="005D503D" w:rsidP="005D503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от несчастных случаев и болезней</w:t>
      </w:r>
    </w:p>
    <w:p w:rsidR="005D503D" w:rsidRDefault="005D503D" w:rsidP="005D503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имущества юридических лиц, за исключением транспортных средств и сельскохозяйственного страхования</w:t>
      </w:r>
    </w:p>
    <w:p w:rsidR="005D503D" w:rsidRDefault="005D503D" w:rsidP="005D503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имущества граждан, за исключением транспортных средств</w:t>
      </w:r>
    </w:p>
    <w:p w:rsidR="005D503D" w:rsidRDefault="005D503D" w:rsidP="005D503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гражданской ответственности организаций, эксплуатирующих опасные объекты</w:t>
      </w: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Закрытое акционерное общество "Страховая компания Железнодорожный страховой фонд</w:t>
      </w:r>
      <w:r>
        <w:rPr>
          <w:b/>
          <w:sz w:val="28"/>
          <w:szCs w:val="28"/>
        </w:rPr>
        <w:t>"</w:t>
      </w: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Предлагает следующие страховые продукты: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от несчастных случаев и болезней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медицинское страхование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средств наземного транспорта (за исключением средств железнодорожного транспорта)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средств железнодорожного транспорта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грузов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имущества юридических лиц, за исключением транспортных средств и сельскохозяйственного страхования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имущества граждан, за исключением транспортных средств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гражданской ответственности организаций, эксплуатирующих опасные объекты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гражданской ответственности за причинение вреда третьим лицам</w:t>
      </w:r>
    </w:p>
    <w:p w:rsidR="005D503D" w:rsidRDefault="005D503D" w:rsidP="005D503D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финансовых рисков</w:t>
      </w: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Закрытое акционерное общество «"Железнодорожная страховая компания "Магистраль"»</w:t>
      </w: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Предлагает следующие страховые продукты: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от несчастных случаев и болезней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медицинское страхование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средств наземного транспорта (за исключением средств железнодорожного транспорта)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средств железнодорожного транспорта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грузов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имущества юридических лиц, за исключением транспортных средств и сельскохозяйственного страхования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имущества граждан, за исключением транспортных средств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гражданской ответственности организаций, эксплуатирующих опасные объекты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гражданской ответственности за причинение вреда третьим лицам</w:t>
      </w:r>
    </w:p>
    <w:p w:rsidR="005D503D" w:rsidRDefault="005D503D" w:rsidP="005D503D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страхование финансовых рисков</w:t>
      </w:r>
    </w:p>
    <w:tbl>
      <w:tblPr>
        <w:tblW w:w="9344" w:type="dxa"/>
        <w:tblInd w:w="93" w:type="dxa"/>
        <w:tblLook w:val="04A0" w:firstRow="1" w:lastRow="0" w:firstColumn="1" w:lastColumn="0" w:noHBand="0" w:noVBand="1"/>
      </w:tblPr>
      <w:tblGrid>
        <w:gridCol w:w="2150"/>
        <w:gridCol w:w="2403"/>
        <w:gridCol w:w="7"/>
        <w:gridCol w:w="1441"/>
        <w:gridCol w:w="1919"/>
        <w:gridCol w:w="27"/>
        <w:gridCol w:w="1398"/>
      </w:tblGrid>
      <w:tr w:rsidR="005D503D" w:rsidTr="00EA5767">
        <w:trPr>
          <w:trHeight w:val="255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</w:p>
        </w:tc>
        <w:tc>
          <w:tcPr>
            <w:tcW w:w="7194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center"/>
            </w:pPr>
            <w:r>
              <w:rPr>
                <w:sz w:val="22"/>
                <w:szCs w:val="22"/>
              </w:rPr>
              <w:t>О Т Р А С Л И</w:t>
            </w:r>
          </w:p>
          <w:p w:rsidR="005D503D" w:rsidRDefault="005D503D" w:rsidP="00EA5767">
            <w:pPr>
              <w:jc w:val="center"/>
            </w:pPr>
            <w:r>
              <w:rPr>
                <w:sz w:val="22"/>
                <w:szCs w:val="22"/>
              </w:rPr>
              <w:t>С Т Р А Х О В А Н И Я</w:t>
            </w:r>
          </w:p>
        </w:tc>
      </w:tr>
      <w:tr w:rsidR="005D503D" w:rsidTr="00EA5767">
        <w:trPr>
          <w:trHeight w:val="255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D503D" w:rsidRDefault="005D503D" w:rsidP="00EA5767">
            <w:pPr>
              <w:jc w:val="both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Названия СК</w:t>
            </w:r>
          </w:p>
        </w:tc>
        <w:tc>
          <w:tcPr>
            <w:tcW w:w="2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Имущественное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Личное</w:t>
            </w:r>
          </w:p>
        </w:tc>
        <w:tc>
          <w:tcPr>
            <w:tcW w:w="1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Ответственности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Экон.рисков</w:t>
            </w:r>
          </w:p>
        </w:tc>
      </w:tr>
      <w:tr w:rsidR="005D503D" w:rsidTr="00EA5767">
        <w:trPr>
          <w:trHeight w:val="255"/>
        </w:trPr>
        <w:tc>
          <w:tcPr>
            <w:tcW w:w="456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Нижегородские страховые компании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5D503D" w:rsidRDefault="005D503D" w:rsidP="00EA5767">
            <w:pPr>
              <w:jc w:val="both"/>
            </w:pPr>
          </w:p>
        </w:tc>
        <w:tc>
          <w:tcPr>
            <w:tcW w:w="334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5D503D" w:rsidRDefault="005D503D" w:rsidP="00EA5767">
            <w:pPr>
              <w:jc w:val="both"/>
            </w:pPr>
          </w:p>
        </w:tc>
      </w:tr>
      <w:tr w:rsidR="005D503D" w:rsidTr="00EA5767">
        <w:trPr>
          <w:trHeight w:val="255"/>
        </w:trPr>
        <w:tc>
          <w:tcPr>
            <w:tcW w:w="215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Общество с ограниченной ответственностью страховое общество "Диалог"</w:t>
            </w:r>
          </w:p>
        </w:tc>
        <w:tc>
          <w:tcPr>
            <w:tcW w:w="240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имущества юридических лиц, за исключением транспортных средств и сельскохозяйственного страхования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имущества граждан, за исключением транспортных средств</w:t>
            </w:r>
          </w:p>
        </w:tc>
        <w:tc>
          <w:tcPr>
            <w:tcW w:w="144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от несчастных случаев и болезней</w:t>
            </w:r>
          </w:p>
        </w:tc>
        <w:tc>
          <w:tcPr>
            <w:tcW w:w="194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гражданской ответственности организаций, эксплуатирующих опасные объекты</w:t>
            </w:r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-----</w:t>
            </w:r>
          </w:p>
        </w:tc>
      </w:tr>
      <w:tr w:rsidR="005D503D" w:rsidTr="00EA5767">
        <w:trPr>
          <w:trHeight w:val="255"/>
        </w:trPr>
        <w:tc>
          <w:tcPr>
            <w:tcW w:w="215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Закрытое акционерное общество "Страховая компания Железнодорожный страховой фонд"</w:t>
            </w:r>
          </w:p>
        </w:tc>
        <w:tc>
          <w:tcPr>
            <w:tcW w:w="240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средств наземного транспорта (за исключением средств железнодорожного транспорта)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средств железнодорожного транспорта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грузов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имущества юридических лиц, за исключением транспортных средств и сельскохозяйственного страхования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имущества граждан, за исключением транспортных средств</w:t>
            </w:r>
          </w:p>
        </w:tc>
        <w:tc>
          <w:tcPr>
            <w:tcW w:w="144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от несчастных случаев и болезней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медицинское страхование</w:t>
            </w:r>
          </w:p>
        </w:tc>
        <w:tc>
          <w:tcPr>
            <w:tcW w:w="194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гражданской ответственности организаций, эксплуатирующих опасные объекты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гражданской ответственности за причинение вреда третьим лицам</w:t>
            </w:r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финансовых рисков</w:t>
            </w:r>
          </w:p>
        </w:tc>
      </w:tr>
      <w:tr w:rsidR="005D503D" w:rsidTr="00EA5767">
        <w:trPr>
          <w:trHeight w:val="255"/>
        </w:trPr>
        <w:tc>
          <w:tcPr>
            <w:tcW w:w="215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Закрытое акционерное общество «"Железнодорожная страховая компания "Магистраль"»</w:t>
            </w:r>
          </w:p>
        </w:tc>
        <w:tc>
          <w:tcPr>
            <w:tcW w:w="240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средств наземного транспорта (за исключением средств железнодорожного транспорта)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средств железнодорожного транспорта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грузовстрахование имущества юридических лиц, за исключением транспортных средств и сельскохозяйственного страхования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имущества граждан, за исключением транспортных средств</w:t>
            </w:r>
          </w:p>
        </w:tc>
        <w:tc>
          <w:tcPr>
            <w:tcW w:w="144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от несчастных случаев и болезней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медицинское страхование</w:t>
            </w:r>
          </w:p>
        </w:tc>
        <w:tc>
          <w:tcPr>
            <w:tcW w:w="194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гражданской ответственности организаций, эксплуатирующих опасные объекты</w:t>
            </w:r>
          </w:p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гражданской ответственности за причинение вреда третьим лицам</w:t>
            </w:r>
          </w:p>
        </w:tc>
        <w:tc>
          <w:tcPr>
            <w:tcW w:w="13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5D503D" w:rsidRDefault="005D503D" w:rsidP="00EA5767">
            <w:pPr>
              <w:jc w:val="both"/>
            </w:pPr>
            <w:r>
              <w:rPr>
                <w:sz w:val="22"/>
                <w:szCs w:val="22"/>
              </w:rPr>
              <w:t>страхование финансовых рисков</w:t>
            </w:r>
          </w:p>
        </w:tc>
      </w:tr>
      <w:tr w:rsidR="005D503D" w:rsidTr="00EA5767">
        <w:trPr>
          <w:trHeight w:val="195"/>
        </w:trPr>
        <w:tc>
          <w:tcPr>
            <w:tcW w:w="792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503D" w:rsidRDefault="005D503D" w:rsidP="00EA5767">
            <w:pPr>
              <w:jc w:val="both"/>
              <w:rPr>
                <w:rFonts w:ascii="Georgia" w:hAnsi="Georgia"/>
                <w:b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D503D" w:rsidRDefault="005D503D" w:rsidP="00EA5767">
            <w:pPr>
              <w:jc w:val="both"/>
              <w:rPr>
                <w:rFonts w:ascii="Georgia" w:hAnsi="Georgia"/>
                <w:b/>
                <w:sz w:val="28"/>
                <w:szCs w:val="28"/>
              </w:rPr>
            </w:pPr>
          </w:p>
        </w:tc>
      </w:tr>
      <w:tr w:rsidR="005D503D" w:rsidTr="00EA5767">
        <w:trPr>
          <w:trHeight w:val="108"/>
        </w:trPr>
        <w:tc>
          <w:tcPr>
            <w:tcW w:w="934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D503D" w:rsidRDefault="005D503D" w:rsidP="00EA5767">
            <w:pPr>
              <w:jc w:val="both"/>
              <w:rPr>
                <w:rFonts w:ascii="Georgia" w:hAnsi="Georgia"/>
                <w:b/>
                <w:sz w:val="28"/>
                <w:szCs w:val="28"/>
              </w:rPr>
            </w:pPr>
          </w:p>
        </w:tc>
      </w:tr>
    </w:tbl>
    <w:p w:rsidR="005D503D" w:rsidRDefault="005D503D" w:rsidP="005D503D">
      <w:pPr>
        <w:jc w:val="both"/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</w:rPr>
        <w:t>Доходность негосударственных пенсионных фондов и управляющих компаний за три последних года</w:t>
      </w:r>
    </w:p>
    <w:p w:rsidR="005D503D" w:rsidRDefault="005D503D" w:rsidP="005D503D">
      <w:pPr>
        <w:pStyle w:val="4"/>
        <w:jc w:val="both"/>
        <w:rPr>
          <w:sz w:val="28"/>
          <w:szCs w:val="28"/>
        </w:rPr>
      </w:pPr>
      <w:r>
        <w:rPr>
          <w:sz w:val="28"/>
          <w:szCs w:val="28"/>
        </w:rPr>
        <w:t>Управляющие компании</w:t>
      </w:r>
    </w:p>
    <w:p w:rsidR="005D503D" w:rsidRDefault="005D503D" w:rsidP="005D503D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Доходность управляющих компаний по итогам управления пенсионными накоплениями граждан</w:t>
      </w:r>
    </w:p>
    <w:tbl>
      <w:tblPr>
        <w:tblW w:w="445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51"/>
        <w:gridCol w:w="2366"/>
        <w:gridCol w:w="1410"/>
        <w:gridCol w:w="1410"/>
        <w:gridCol w:w="1455"/>
        <w:gridCol w:w="1414"/>
      </w:tblGrid>
      <w:tr w:rsidR="005D503D" w:rsidTr="00EA5767">
        <w:trPr>
          <w:trHeight w:val="435"/>
          <w:tblHeader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№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УК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Доходность</w:t>
            </w:r>
            <w:r>
              <w:rPr>
                <w:color w:val="000000"/>
                <w:sz w:val="26"/>
                <w:szCs w:val="26"/>
              </w:rPr>
              <w:br/>
              <w:t xml:space="preserve">за </w:t>
            </w:r>
            <w:r>
              <w:rPr>
                <w:color w:val="000000"/>
                <w:sz w:val="26"/>
                <w:szCs w:val="26"/>
                <w:u w:val="single"/>
              </w:rPr>
              <w:t>2008</w:t>
            </w:r>
            <w:r>
              <w:rPr>
                <w:color w:val="000000"/>
                <w:sz w:val="26"/>
                <w:szCs w:val="26"/>
              </w:rPr>
              <w:t xml:space="preserve"> год</w:t>
            </w:r>
            <w:r>
              <w:rPr>
                <w:color w:val="000000"/>
                <w:sz w:val="26"/>
                <w:szCs w:val="26"/>
              </w:rPr>
              <w:br/>
              <w:t>(% годовых)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Доходность</w:t>
            </w:r>
            <w:r>
              <w:rPr>
                <w:color w:val="000000"/>
                <w:sz w:val="26"/>
                <w:szCs w:val="26"/>
              </w:rPr>
              <w:br/>
              <w:t xml:space="preserve">за </w:t>
            </w:r>
            <w:r>
              <w:rPr>
                <w:color w:val="000000"/>
                <w:sz w:val="26"/>
                <w:szCs w:val="26"/>
                <w:u w:val="single"/>
              </w:rPr>
              <w:t>2009</w:t>
            </w:r>
            <w:r>
              <w:rPr>
                <w:color w:val="000000"/>
                <w:sz w:val="26"/>
                <w:szCs w:val="26"/>
              </w:rPr>
              <w:t xml:space="preserve"> год</w:t>
            </w:r>
            <w:r>
              <w:rPr>
                <w:color w:val="000000"/>
                <w:sz w:val="26"/>
                <w:szCs w:val="26"/>
              </w:rPr>
              <w:br/>
              <w:t>(% годовых)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Доходность за</w:t>
            </w:r>
            <w:r>
              <w:rPr>
                <w:color w:val="000000"/>
                <w:sz w:val="26"/>
                <w:szCs w:val="26"/>
              </w:rPr>
              <w:br/>
            </w:r>
            <w:r>
              <w:rPr>
                <w:color w:val="000000"/>
                <w:sz w:val="26"/>
                <w:szCs w:val="26"/>
                <w:u w:val="single"/>
              </w:rPr>
              <w:t>9 месяцев 2010 года</w:t>
            </w:r>
            <w:r>
              <w:rPr>
                <w:color w:val="000000"/>
                <w:sz w:val="26"/>
                <w:szCs w:val="26"/>
                <w:u w:val="single"/>
              </w:rPr>
              <w:br/>
            </w:r>
            <w:r>
              <w:rPr>
                <w:color w:val="000000"/>
                <w:sz w:val="26"/>
                <w:szCs w:val="26"/>
              </w:rPr>
              <w:t>(% годовых)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Средняя доходность</w:t>
            </w:r>
            <w:r>
              <w:rPr>
                <w:color w:val="000000"/>
                <w:sz w:val="26"/>
                <w:szCs w:val="26"/>
              </w:rPr>
              <w:br/>
              <w:t>(% годовых)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Мономах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-40,69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53,78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31,6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13,00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49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Центральная Управляющая</w:t>
            </w:r>
            <w:r>
              <w:rPr>
                <w:sz w:val="26"/>
                <w:szCs w:val="26"/>
              </w:rPr>
              <w:br/>
              <w:t>Компания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-52,23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94,46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28,64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19,44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44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Тройка Диалог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-52,64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93,76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24,49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17,57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ВТБ Управление активами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-32,93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65,41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22,97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15,01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48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Финам Менеджмент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-10,46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12,55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22,71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7,39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ОТКРЫТИЕ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-3,75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36,52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22,68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14,98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Интерфин Капитал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-24,77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27,15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21,2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7,20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 БАРС КАПИТАЛ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-38,5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36,6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20,76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6,15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Базис-Инвест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-40,92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43,4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20,5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7,19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Уралсиб – Управление</w:t>
            </w:r>
            <w:r>
              <w:rPr>
                <w:sz w:val="26"/>
                <w:szCs w:val="26"/>
              </w:rPr>
              <w:br/>
              <w:t>капиталом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-22,36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27,5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19,91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6,81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Аналитический центр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-41,01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44,83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19,4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7,98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Брокеркредитсервис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-28,86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45,26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18,15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9,59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РФЦ-Капитал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-24,94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42,34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17,78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10,49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45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УК МДМ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-23,88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41,15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17,18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10,51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Портфельные инвестиции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-33,63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78,55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17,02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17,01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Метрополь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-37,13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44,28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16,66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7,64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ОФГ</w:t>
            </w:r>
            <w:r>
              <w:rPr>
                <w:sz w:val="26"/>
                <w:szCs w:val="26"/>
                <w:lang w:val="en-US"/>
              </w:rPr>
              <w:t xml:space="preserve"> </w:t>
            </w:r>
            <w:r>
              <w:rPr>
                <w:sz w:val="26"/>
                <w:szCs w:val="26"/>
              </w:rPr>
              <w:t>ИНВЕСТ</w:t>
            </w:r>
            <w:r>
              <w:rPr>
                <w:sz w:val="26"/>
                <w:szCs w:val="26"/>
                <w:lang w:val="en-US"/>
              </w:rPr>
              <w:t xml:space="preserve"> (Deutsche UFG</w:t>
            </w:r>
            <w:r>
              <w:rPr>
                <w:sz w:val="26"/>
                <w:szCs w:val="26"/>
                <w:lang w:val="en-US"/>
              </w:rPr>
              <w:br/>
              <w:t>Capital Management)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-19,59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29,5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16,11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7,83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Пенсионная сберегательная</w:t>
            </w:r>
            <w:r>
              <w:rPr>
                <w:sz w:val="26"/>
                <w:szCs w:val="26"/>
              </w:rPr>
              <w:br/>
              <w:t>компания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-32,48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34,37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15,92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6,40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Национальная управляющая</w:t>
            </w:r>
            <w:r>
              <w:rPr>
                <w:sz w:val="26"/>
                <w:szCs w:val="26"/>
              </w:rPr>
              <w:br/>
              <w:t>компания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-35,6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24,96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15,84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3,22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46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УНИВЕР Менеджмент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-17,53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32,61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15,7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9,62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Альянс РОСНО Управление</w:t>
            </w:r>
            <w:r>
              <w:rPr>
                <w:sz w:val="26"/>
                <w:szCs w:val="26"/>
              </w:rPr>
              <w:br/>
              <w:t>Активами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-33,65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28,29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15,64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4,04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ТКБ БНП Париба Инвестмент</w:t>
            </w:r>
            <w:r>
              <w:rPr>
                <w:sz w:val="26"/>
                <w:szCs w:val="26"/>
              </w:rPr>
              <w:br/>
              <w:t>Партнерс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-43,2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30,44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15,04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2,35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РН – траст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-0,82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17,3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14,86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9,35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Ингосстрах – Инвестиции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-30,46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19,79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14,18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2,53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Регионгазфинанс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-29,33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29,54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13,62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4,64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Пенсионный резерв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-18,11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28,67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13,59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7,64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ТРИНФИКО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-0,45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110,48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13,04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32,53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Лидер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-14,53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14,39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12,94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4,59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ИНТЕРФИНАНС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-26,36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12,47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-3,47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Паллада Эссет Менеджмент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-34,49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31,02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12,28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3,52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37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Регион Эссет Менеджмент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-17,95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31,87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12,17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8,31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БИН ФИНАМ Групп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-25,55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23,52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11,98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3,80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Промышленные традиции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-19,77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27,75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11,59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5,97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Достояние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-30,14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24,51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11,57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2,45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34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Промсвязь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-9,7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24,2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11,48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8,21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КапиталЪ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-24,2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35,67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7,11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ВЭБ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-0,46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9,52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10,04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6,29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МИР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-24,39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11,41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9,83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0,20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Доверие Капитал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-36,69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26,86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9,27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1,17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Металлинвесттраст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-55,09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21,19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8,73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-6,29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Ямал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-12,09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18,02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7,18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4,05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Альфа Капитал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-21,55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13,47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5,73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0,32</w:t>
            </w:r>
          </w:p>
        </w:tc>
      </w:tr>
      <w:tr w:rsidR="005D503D" w:rsidTr="00EA5767">
        <w:trPr>
          <w:trHeight w:val="180"/>
          <w:tblCellSpacing w:w="0" w:type="dxa"/>
        </w:trPr>
        <w:tc>
          <w:tcPr>
            <w:tcW w:w="3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236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ВИКА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2,2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11,28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D503D" w:rsidRDefault="005D503D" w:rsidP="00EA5767">
            <w:pPr>
              <w:spacing w:line="180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4,57</w:t>
            </w:r>
          </w:p>
        </w:tc>
      </w:tr>
    </w:tbl>
    <w:p w:rsidR="005D503D" w:rsidRDefault="005D503D" w:rsidP="005D503D">
      <w:pPr>
        <w:jc w:val="both"/>
        <w:rPr>
          <w:sz w:val="28"/>
          <w:szCs w:val="28"/>
        </w:rPr>
      </w:pPr>
    </w:p>
    <w:p w:rsidR="005D503D" w:rsidRPr="00E97235" w:rsidRDefault="005D503D" w:rsidP="005D503D">
      <w:pPr>
        <w:jc w:val="both"/>
        <w:rPr>
          <w:i/>
          <w:sz w:val="28"/>
          <w:szCs w:val="28"/>
        </w:rPr>
      </w:pPr>
      <w:r w:rsidRPr="00E97235">
        <w:rPr>
          <w:i/>
          <w:sz w:val="28"/>
          <w:szCs w:val="28"/>
        </w:rPr>
        <w:t xml:space="preserve">Источник: http://npf.investfunds.ru/ </w:t>
      </w:r>
    </w:p>
    <w:p w:rsidR="005D503D" w:rsidRDefault="005D503D" w:rsidP="005D503D">
      <w:pPr>
        <w:pStyle w:val="4"/>
        <w:jc w:val="both"/>
        <w:rPr>
          <w:sz w:val="28"/>
          <w:szCs w:val="28"/>
        </w:rPr>
      </w:pPr>
      <w:r>
        <w:rPr>
          <w:sz w:val="28"/>
          <w:szCs w:val="28"/>
        </w:rPr>
        <w:t>Негосударственные Пенсионные Фонды</w:t>
      </w: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Доходность негосударственных пенсионных фондов за три года  управления пенсионными накоплениями граждан. </w:t>
      </w:r>
    </w:p>
    <w:tbl>
      <w:tblPr>
        <w:tblW w:w="3736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50"/>
        <w:gridCol w:w="2531"/>
        <w:gridCol w:w="1407"/>
        <w:gridCol w:w="1407"/>
        <w:gridCol w:w="1362"/>
      </w:tblGrid>
      <w:tr w:rsidR="005D503D" w:rsidTr="00EA5767">
        <w:trPr>
          <w:trHeight w:val="255"/>
          <w:tblHeader/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№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НПФ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Доходность</w:t>
            </w:r>
            <w:r>
              <w:rPr>
                <w:color w:val="000000"/>
                <w:sz w:val="26"/>
                <w:szCs w:val="26"/>
              </w:rPr>
              <w:br/>
              <w:t xml:space="preserve">за </w:t>
            </w:r>
            <w:r>
              <w:rPr>
                <w:color w:val="000000"/>
                <w:sz w:val="26"/>
                <w:szCs w:val="26"/>
                <w:u w:val="single"/>
              </w:rPr>
              <w:t>2007</w:t>
            </w:r>
            <w:r>
              <w:rPr>
                <w:color w:val="000000"/>
                <w:sz w:val="26"/>
                <w:szCs w:val="26"/>
              </w:rPr>
              <w:t xml:space="preserve"> год</w:t>
            </w:r>
            <w:r>
              <w:rPr>
                <w:color w:val="000000"/>
                <w:sz w:val="26"/>
                <w:szCs w:val="26"/>
              </w:rPr>
              <w:br/>
              <w:t>(% годовых)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Доходность</w:t>
            </w:r>
            <w:r>
              <w:rPr>
                <w:color w:val="000000"/>
                <w:sz w:val="26"/>
                <w:szCs w:val="26"/>
              </w:rPr>
              <w:br/>
              <w:t xml:space="preserve">за </w:t>
            </w:r>
            <w:r>
              <w:rPr>
                <w:color w:val="000000"/>
                <w:sz w:val="26"/>
                <w:szCs w:val="26"/>
                <w:u w:val="single"/>
              </w:rPr>
              <w:t>2009</w:t>
            </w:r>
            <w:r>
              <w:rPr>
                <w:color w:val="000000"/>
                <w:sz w:val="26"/>
                <w:szCs w:val="26"/>
              </w:rPr>
              <w:t xml:space="preserve"> год</w:t>
            </w:r>
            <w:r>
              <w:rPr>
                <w:color w:val="000000"/>
                <w:sz w:val="26"/>
                <w:szCs w:val="26"/>
              </w:rPr>
              <w:br/>
              <w:t>(% годовых)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Средняя доходность</w:t>
            </w:r>
            <w:r>
              <w:rPr>
                <w:color w:val="000000"/>
                <w:sz w:val="26"/>
                <w:szCs w:val="26"/>
              </w:rPr>
              <w:br/>
              <w:t>(% годовых)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Доверие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24,6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6,52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Большой ПФ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6,4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28,3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14,91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ВТБ Пенсионный фонд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23,8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БЛАГОСОСТОЯНИЕ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23,4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11,62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ГАЗФОНД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22,6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10,89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Пенсионный капитал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20,19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ЛУКОЙЛ-ГАРАНТ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9,53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20,07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11,37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Русь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16,15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19,34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11,02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АТОМГАРАНТ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18,1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КИТ Финанс НПФ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17,26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РЕГИОНФОНД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15,5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Ренессанс Жизнь и Пенсии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Образование и наука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15,2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Социальная защита старости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7,4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15,00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7,66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Промагрофонд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7,88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14,07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10,36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НЕФТЕГАРАНТ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5,68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12,56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3,65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39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Ханты-Мансийский НПФ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13,14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12,50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8,41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Электроэнергетики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 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12,12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8,51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Райффайзен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5,73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10,46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7,37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СберФонд РЕСО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10,07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АО Мосэнерго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6,19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Норильский никель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7,4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12,94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7,67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РНПФ Социальная защита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9,90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Социальное развитие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9,8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10,60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8,60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УГМК-Перспектива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5,42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47,4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14,26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РГС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31,9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Сбербанка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30,02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Социум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11,88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11,28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34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Телеком-Союз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10,09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25,74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7,17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Первый национальный ПФ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9,94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18,63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13,89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СтальФонд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8,5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18,40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Оборонно-промышленный фонд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7,89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40,54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13,09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ОПК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7,89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62,37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18,50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37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УРАЛСИБ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5,5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9,86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Система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4,7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10,04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Пенсионный фонд Банка</w:t>
            </w:r>
            <w:r>
              <w:rPr>
                <w:sz w:val="26"/>
                <w:szCs w:val="26"/>
              </w:rPr>
              <w:br/>
              <w:t>Москвы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17,73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11,43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Национальный НПФ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34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10,94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Дженерали ППФ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rHeight w:val="35"/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Сургутнефтегаз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43,55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5D503D" w:rsidTr="00EA5767">
        <w:trPr>
          <w:tblCellSpacing w:w="0" w:type="dxa"/>
        </w:trPr>
        <w:tc>
          <w:tcPr>
            <w:tcW w:w="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</w:t>
            </w:r>
          </w:p>
        </w:tc>
        <w:tc>
          <w:tcPr>
            <w:tcW w:w="25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Транснефть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16,89</w:t>
            </w:r>
          </w:p>
        </w:tc>
        <w:tc>
          <w:tcPr>
            <w:tcW w:w="1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</w:tbl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pStyle w:val="z-"/>
        <w:jc w:val="both"/>
      </w:pPr>
      <w:r>
        <w:t>Начало формы</w:t>
      </w:r>
    </w:p>
    <w:p w:rsidR="005D503D" w:rsidRDefault="005D503D" w:rsidP="005D503D">
      <w:pPr>
        <w:jc w:val="both"/>
        <w:rPr>
          <w:b/>
          <w:sz w:val="28"/>
          <w:szCs w:val="28"/>
        </w:rPr>
      </w:pPr>
    </w:p>
    <w:p w:rsidR="005D503D" w:rsidRDefault="005D503D" w:rsidP="005D503D">
      <w:pPr>
        <w:jc w:val="both"/>
        <w:rPr>
          <w:b/>
          <w:sz w:val="28"/>
          <w:szCs w:val="28"/>
        </w:rPr>
      </w:pPr>
    </w:p>
    <w:p w:rsidR="005D503D" w:rsidRDefault="005D503D" w:rsidP="005D503D">
      <w:pPr>
        <w:jc w:val="both"/>
        <w:rPr>
          <w:rFonts w:ascii="Georgia" w:hAnsi="Georgia"/>
          <w:b/>
          <w:sz w:val="28"/>
          <w:szCs w:val="28"/>
        </w:rPr>
      </w:pPr>
      <w:r>
        <w:rPr>
          <w:b/>
          <w:sz w:val="28"/>
          <w:szCs w:val="28"/>
        </w:rPr>
        <w:t>Рейтинг доходности</w:t>
      </w:r>
      <w:r>
        <w:rPr>
          <w:rFonts w:ascii="Georgia" w:hAnsi="Georgia"/>
          <w:b/>
          <w:sz w:val="28"/>
          <w:szCs w:val="28"/>
        </w:rPr>
        <w:t xml:space="preserve"> негосударственных пенсионных фондов и управляющих компаний</w:t>
      </w: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Рейтинг доходности УК за 2008год (5 лидеров)</w:t>
      </w: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 w:rsidRPr="005D503D">
        <w:rPr>
          <w:noProof/>
          <w:sz w:val="28"/>
          <w:szCs w:val="28"/>
        </w:rPr>
        <w:object w:dxaOrig="8084" w:dyaOrig="26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Объект 1" o:spid="_x0000_i1025" type="#_x0000_t75" style="width:414pt;height:156pt;visibility:visible" o:ole="">
            <v:imagedata r:id="rId6" o:title="" croptop="-6476f" cropbottom="-6001f" cropleft="-1556f" cropright="-41f"/>
          </v:shape>
          <o:OLEObject Type="Embed" ProgID="Excel.Sheet.8" ShapeID="Объект 1" DrawAspect="Content" ObjectID="_1543333775" r:id="rId7">
            <o:FieldCodes>\s</o:FieldCodes>
          </o:OLEObject>
        </w:object>
      </w: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Рейтинг доходности УК за 2009год (5 лидеров)</w:t>
      </w:r>
    </w:p>
    <w:p w:rsidR="005D503D" w:rsidRDefault="005D503D" w:rsidP="005D503D">
      <w:pPr>
        <w:jc w:val="both"/>
        <w:rPr>
          <w:sz w:val="28"/>
          <w:szCs w:val="28"/>
        </w:rPr>
      </w:pPr>
      <w:r w:rsidRPr="005D503D">
        <w:rPr>
          <w:noProof/>
          <w:sz w:val="28"/>
          <w:szCs w:val="28"/>
        </w:rPr>
        <w:object w:dxaOrig="8794" w:dyaOrig="2669">
          <v:shape id="Объект 2" o:spid="_x0000_i1026" type="#_x0000_t75" style="width:450pt;height:2in;visibility:visible" o:ole="">
            <v:imagedata r:id="rId8" o:title="" croptop="-2604f" cropbottom="-2604f" cropleft="-1357f" cropright="-179f"/>
          </v:shape>
          <o:OLEObject Type="Embed" ProgID="Excel.Sheet.8" ShapeID="Объект 2" DrawAspect="Content" ObjectID="_1543333776" r:id="rId9">
            <o:FieldCodes>\s</o:FieldCodes>
          </o:OLEObject>
        </w:object>
      </w: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Рейтинг доходности УК за 9 месяцев 2010 года (5 лидеров)</w:t>
      </w: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 w:rsidRPr="005D503D">
        <w:rPr>
          <w:noProof/>
          <w:sz w:val="28"/>
          <w:szCs w:val="28"/>
        </w:rPr>
        <w:object w:dxaOrig="8938" w:dyaOrig="2669">
          <v:shape id="Объект 3" o:spid="_x0000_i1027" type="#_x0000_t75" style="width:456.75pt;height:2in;visibility:visible" o:ole="">
            <v:imagedata r:id="rId10" o:title="" croptop="-2604f" cropbottom="-2604f" cropleft="-1269f" cropright="-184f"/>
          </v:shape>
          <o:OLEObject Type="Embed" ProgID="Excel.Sheet.8" ShapeID="Объект 3" DrawAspect="Content" ObjectID="_1543333777" r:id="rId11">
            <o:FieldCodes>\s</o:FieldCodes>
          </o:OLEObject>
        </w:object>
      </w: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Рейтинг доходности НПФ за 2007 год (5 лидеров)</w:t>
      </w:r>
    </w:p>
    <w:p w:rsidR="005D503D" w:rsidRDefault="005D503D" w:rsidP="005D503D">
      <w:pPr>
        <w:jc w:val="both"/>
        <w:rPr>
          <w:sz w:val="28"/>
          <w:szCs w:val="28"/>
        </w:rPr>
      </w:pPr>
    </w:p>
    <w:tbl>
      <w:tblPr>
        <w:tblW w:w="4816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6705"/>
        <w:gridCol w:w="2392"/>
      </w:tblGrid>
      <w:tr w:rsidR="005D503D" w:rsidTr="00EA5767">
        <w:trPr>
          <w:trHeight w:val="252"/>
          <w:tblHeader/>
          <w:tblCellSpacing w:w="0" w:type="dxa"/>
        </w:trPr>
        <w:tc>
          <w:tcPr>
            <w:tcW w:w="6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НПФ</w:t>
            </w:r>
          </w:p>
        </w:tc>
        <w:tc>
          <w:tcPr>
            <w:tcW w:w="2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Доходность</w:t>
            </w:r>
            <w:r>
              <w:rPr>
                <w:color w:val="000000"/>
                <w:sz w:val="26"/>
                <w:szCs w:val="26"/>
              </w:rPr>
              <w:br/>
              <w:t xml:space="preserve">за </w:t>
            </w:r>
            <w:r>
              <w:rPr>
                <w:color w:val="000000"/>
                <w:sz w:val="26"/>
                <w:szCs w:val="26"/>
                <w:u w:val="single"/>
              </w:rPr>
              <w:t>2007</w:t>
            </w:r>
            <w:r>
              <w:rPr>
                <w:color w:val="000000"/>
                <w:sz w:val="26"/>
                <w:szCs w:val="26"/>
              </w:rPr>
              <w:t xml:space="preserve"> год</w:t>
            </w:r>
            <w:r>
              <w:rPr>
                <w:color w:val="000000"/>
                <w:sz w:val="26"/>
                <w:szCs w:val="26"/>
              </w:rPr>
              <w:br/>
              <w:t>(% годовых)</w:t>
            </w:r>
          </w:p>
        </w:tc>
      </w:tr>
      <w:tr w:rsidR="005D503D" w:rsidTr="00EA5767">
        <w:trPr>
          <w:trHeight w:val="296"/>
          <w:tblCellSpacing w:w="0" w:type="dxa"/>
        </w:trPr>
        <w:tc>
          <w:tcPr>
            <w:tcW w:w="6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Русь</w:t>
            </w:r>
          </w:p>
        </w:tc>
        <w:tc>
          <w:tcPr>
            <w:tcW w:w="2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16,15</w:t>
            </w:r>
          </w:p>
        </w:tc>
      </w:tr>
      <w:tr w:rsidR="005D503D" w:rsidTr="00EA5767">
        <w:trPr>
          <w:trHeight w:val="282"/>
          <w:tblCellSpacing w:w="0" w:type="dxa"/>
        </w:trPr>
        <w:tc>
          <w:tcPr>
            <w:tcW w:w="6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Ханты-Мансийский НПФ</w:t>
            </w:r>
          </w:p>
        </w:tc>
        <w:tc>
          <w:tcPr>
            <w:tcW w:w="2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13,14</w:t>
            </w:r>
          </w:p>
        </w:tc>
      </w:tr>
      <w:tr w:rsidR="005D503D" w:rsidTr="00EA5767">
        <w:trPr>
          <w:trHeight w:val="296"/>
          <w:tblCellSpacing w:w="0" w:type="dxa"/>
        </w:trPr>
        <w:tc>
          <w:tcPr>
            <w:tcW w:w="6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Социум</w:t>
            </w:r>
          </w:p>
        </w:tc>
        <w:tc>
          <w:tcPr>
            <w:tcW w:w="2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11,88</w:t>
            </w:r>
          </w:p>
        </w:tc>
      </w:tr>
      <w:tr w:rsidR="005D503D" w:rsidTr="00EA5767">
        <w:trPr>
          <w:trHeight w:val="296"/>
          <w:tblCellSpacing w:w="0" w:type="dxa"/>
        </w:trPr>
        <w:tc>
          <w:tcPr>
            <w:tcW w:w="6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Телеком-Союз</w:t>
            </w:r>
          </w:p>
        </w:tc>
        <w:tc>
          <w:tcPr>
            <w:tcW w:w="2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10,09</w:t>
            </w:r>
          </w:p>
        </w:tc>
      </w:tr>
      <w:tr w:rsidR="005D503D" w:rsidTr="00EA5767">
        <w:trPr>
          <w:trHeight w:val="296"/>
          <w:tblCellSpacing w:w="0" w:type="dxa"/>
        </w:trPr>
        <w:tc>
          <w:tcPr>
            <w:tcW w:w="6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Первый национальный ПФ</w:t>
            </w:r>
          </w:p>
        </w:tc>
        <w:tc>
          <w:tcPr>
            <w:tcW w:w="23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9,94</w:t>
            </w:r>
          </w:p>
        </w:tc>
      </w:tr>
    </w:tbl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>
        <w:rPr>
          <w:sz w:val="28"/>
          <w:szCs w:val="28"/>
        </w:rPr>
        <w:t>Рейтинг доходности НПФ за 2009 год (5 лидеров)</w:t>
      </w:r>
    </w:p>
    <w:tbl>
      <w:tblPr>
        <w:tblW w:w="4819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6408"/>
        <w:gridCol w:w="2695"/>
      </w:tblGrid>
      <w:tr w:rsidR="005D503D" w:rsidTr="00EA5767">
        <w:trPr>
          <w:trHeight w:val="256"/>
          <w:tblHeader/>
          <w:tblCellSpacing w:w="0" w:type="dxa"/>
        </w:trPr>
        <w:tc>
          <w:tcPr>
            <w:tcW w:w="6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pStyle w:val="a4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НПФ</w:t>
            </w:r>
          </w:p>
        </w:tc>
        <w:tc>
          <w:tcPr>
            <w:tcW w:w="2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D503D" w:rsidRDefault="005D503D" w:rsidP="00EA5767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Доходность</w:t>
            </w:r>
            <w:r>
              <w:rPr>
                <w:color w:val="000000"/>
                <w:sz w:val="26"/>
                <w:szCs w:val="26"/>
              </w:rPr>
              <w:br/>
              <w:t xml:space="preserve">за </w:t>
            </w:r>
            <w:r>
              <w:rPr>
                <w:color w:val="000000"/>
                <w:sz w:val="26"/>
                <w:szCs w:val="26"/>
                <w:u w:val="single"/>
              </w:rPr>
              <w:t>2009</w:t>
            </w:r>
            <w:r>
              <w:rPr>
                <w:color w:val="000000"/>
                <w:sz w:val="26"/>
                <w:szCs w:val="26"/>
              </w:rPr>
              <w:t xml:space="preserve"> год</w:t>
            </w:r>
            <w:r>
              <w:rPr>
                <w:color w:val="000000"/>
                <w:sz w:val="26"/>
                <w:szCs w:val="26"/>
              </w:rPr>
              <w:br/>
              <w:t>(% годовых)</w:t>
            </w:r>
          </w:p>
        </w:tc>
      </w:tr>
      <w:tr w:rsidR="005D503D" w:rsidTr="00EA5767">
        <w:trPr>
          <w:trHeight w:val="301"/>
          <w:tblCellSpacing w:w="0" w:type="dxa"/>
        </w:trPr>
        <w:tc>
          <w:tcPr>
            <w:tcW w:w="6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Доверие</w:t>
            </w:r>
          </w:p>
        </w:tc>
        <w:tc>
          <w:tcPr>
            <w:tcW w:w="2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24,6</w:t>
            </w:r>
          </w:p>
        </w:tc>
      </w:tr>
      <w:tr w:rsidR="005D503D" w:rsidTr="00EA5767">
        <w:trPr>
          <w:trHeight w:val="301"/>
          <w:tblCellSpacing w:w="0" w:type="dxa"/>
        </w:trPr>
        <w:tc>
          <w:tcPr>
            <w:tcW w:w="6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Большой ПФ</w:t>
            </w:r>
          </w:p>
        </w:tc>
        <w:tc>
          <w:tcPr>
            <w:tcW w:w="2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28,3</w:t>
            </w:r>
          </w:p>
        </w:tc>
      </w:tr>
      <w:tr w:rsidR="005D503D" w:rsidTr="00EA5767">
        <w:trPr>
          <w:trHeight w:val="301"/>
          <w:tblCellSpacing w:w="0" w:type="dxa"/>
        </w:trPr>
        <w:tc>
          <w:tcPr>
            <w:tcW w:w="6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ВТБ Пенсионный фонд</w:t>
            </w:r>
          </w:p>
        </w:tc>
        <w:tc>
          <w:tcPr>
            <w:tcW w:w="2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23,8</w:t>
            </w:r>
          </w:p>
        </w:tc>
      </w:tr>
      <w:tr w:rsidR="005D503D" w:rsidTr="00EA5767">
        <w:trPr>
          <w:trHeight w:val="301"/>
          <w:tblCellSpacing w:w="0" w:type="dxa"/>
        </w:trPr>
        <w:tc>
          <w:tcPr>
            <w:tcW w:w="6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БЛАГОСОСТОЯНИЕ</w:t>
            </w:r>
          </w:p>
        </w:tc>
        <w:tc>
          <w:tcPr>
            <w:tcW w:w="2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23,4</w:t>
            </w:r>
          </w:p>
        </w:tc>
      </w:tr>
      <w:tr w:rsidR="005D503D" w:rsidTr="00EA5767">
        <w:trPr>
          <w:trHeight w:val="301"/>
          <w:tblCellSpacing w:w="0" w:type="dxa"/>
        </w:trPr>
        <w:tc>
          <w:tcPr>
            <w:tcW w:w="6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НПФ ГАЗФОНД</w:t>
            </w:r>
          </w:p>
        </w:tc>
        <w:tc>
          <w:tcPr>
            <w:tcW w:w="2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5D503D" w:rsidRDefault="005D503D" w:rsidP="00EA576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22,6</w:t>
            </w:r>
          </w:p>
        </w:tc>
      </w:tr>
    </w:tbl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  <w:r w:rsidRPr="00E97235">
        <w:rPr>
          <w:b/>
          <w:sz w:val="32"/>
          <w:szCs w:val="28"/>
        </w:rPr>
        <w:t>Вывод:</w:t>
      </w:r>
      <w:r w:rsidRPr="00E97235">
        <w:rPr>
          <w:sz w:val="32"/>
          <w:szCs w:val="28"/>
        </w:rPr>
        <w:t xml:space="preserve"> </w:t>
      </w:r>
      <w:r>
        <w:rPr>
          <w:sz w:val="28"/>
          <w:szCs w:val="28"/>
        </w:rPr>
        <w:t>За 2008 год показатель доходности НПФ «Вика» один из положительных  на пенсионном рынке. Он составил + 2,2% годовых, в то время как Пенсионный фонд РФ потерял около 20 млрд. рублей пенсионных накоплений граждан, закрыв год с отрицательной доходностью -0,46%.</w:t>
      </w:r>
    </w:p>
    <w:p w:rsidR="005D503D" w:rsidRDefault="005D503D" w:rsidP="005D503D">
      <w:pPr>
        <w:jc w:val="both"/>
        <w:rPr>
          <w:sz w:val="28"/>
          <w:szCs w:val="28"/>
        </w:rPr>
      </w:pPr>
    </w:p>
    <w:p w:rsidR="005D503D" w:rsidRDefault="005D503D" w:rsidP="005D503D">
      <w:pPr>
        <w:jc w:val="both"/>
        <w:rPr>
          <w:sz w:val="28"/>
          <w:szCs w:val="28"/>
        </w:rPr>
      </w:pPr>
    </w:p>
    <w:p w:rsidR="003421FB" w:rsidRDefault="003421FB"/>
    <w:sectPr w:rsidR="003421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C5E7C"/>
    <w:multiLevelType w:val="hybridMultilevel"/>
    <w:tmpl w:val="5164D3BC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71696D"/>
    <w:multiLevelType w:val="hybridMultilevel"/>
    <w:tmpl w:val="F74A5EA8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F3D49CE"/>
    <w:multiLevelType w:val="hybridMultilevel"/>
    <w:tmpl w:val="D46A7966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47D2D5D"/>
    <w:multiLevelType w:val="multilevel"/>
    <w:tmpl w:val="C7DA96E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503D"/>
    <w:rsid w:val="002709C1"/>
    <w:rsid w:val="003421FB"/>
    <w:rsid w:val="005D503D"/>
    <w:rsid w:val="0087425C"/>
    <w:rsid w:val="008E4D38"/>
    <w:rsid w:val="00D1659E"/>
    <w:rsid w:val="00EA5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03D"/>
    <w:rPr>
      <w:rFonts w:ascii="Times New Roman" w:eastAsia="Times New Roman" w:hAnsi="Times New Roman"/>
      <w:sz w:val="24"/>
      <w:szCs w:val="24"/>
    </w:rPr>
  </w:style>
  <w:style w:type="paragraph" w:styleId="4">
    <w:name w:val="heading 4"/>
    <w:basedOn w:val="a"/>
    <w:link w:val="40"/>
    <w:qFormat/>
    <w:rsid w:val="005D503D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semiHidden/>
    <w:rsid w:val="005D503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semiHidden/>
    <w:unhideWhenUsed/>
    <w:rsid w:val="005D503D"/>
    <w:rPr>
      <w:color w:val="0000FF"/>
      <w:u w:val="single"/>
    </w:rPr>
  </w:style>
  <w:style w:type="paragraph" w:styleId="a4">
    <w:name w:val="Normal (Web)"/>
    <w:basedOn w:val="a"/>
    <w:unhideWhenUsed/>
    <w:rsid w:val="005D503D"/>
    <w:pPr>
      <w:spacing w:before="100" w:beforeAutospacing="1" w:after="100" w:afterAutospacing="1"/>
    </w:pPr>
  </w:style>
  <w:style w:type="paragraph" w:styleId="z-">
    <w:name w:val="HTML Top of Form"/>
    <w:basedOn w:val="a"/>
    <w:next w:val="a"/>
    <w:link w:val="z-0"/>
    <w:hidden/>
    <w:semiHidden/>
    <w:unhideWhenUsed/>
    <w:rsid w:val="005D503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semiHidden/>
    <w:rsid w:val="005D503D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D503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D503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oleObject" Target="embeddings/Microsoft_Excel_97-2003_Worksheet1.xls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oleObject" Target="embeddings/Microsoft_Excel_97-2003_Worksheet3.xls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Worksheet2.xls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1473</Words>
  <Characters>9354</Characters>
  <Application>Microsoft Office Word</Application>
  <DocSecurity>0</DocSecurity>
  <Lines>841</Lines>
  <Paragraphs>579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10264</CharactersWithSpaces>
  <SharedDoc>false</SharedDoc>
  <HLinks>
    <vt:vector size="84" baseType="variant">
      <vt:variant>
        <vt:i4>28</vt:i4>
      </vt:variant>
      <vt:variant>
        <vt:i4>39</vt:i4>
      </vt:variant>
      <vt:variant>
        <vt:i4>0</vt:i4>
      </vt:variant>
      <vt:variant>
        <vt:i4>5</vt:i4>
      </vt:variant>
      <vt:variant>
        <vt:lpwstr>http://ru.wikipedia.org/wiki/%D0%A1%D1%82%D1%80%D0%B0%D1%85%D0%BE%D0%B2%D0%B0%D0%BD%D0%B8%D0%B5_%D0%BD%D0%B0_%D0%B4%D0%BE%D0%B6%D0%B8%D1%82%D0%B8%D0%B5</vt:lpwstr>
      </vt:variant>
      <vt:variant>
        <vt:lpwstr/>
      </vt:variant>
      <vt:variant>
        <vt:i4>655395</vt:i4>
      </vt:variant>
      <vt:variant>
        <vt:i4>36</vt:i4>
      </vt:variant>
      <vt:variant>
        <vt:i4>0</vt:i4>
      </vt:variant>
      <vt:variant>
        <vt:i4>5</vt:i4>
      </vt:variant>
      <vt:variant>
        <vt:lpwstr>http://ru.wikipedia.org/wiki/%D0%94%D0%BE%D0%B3%D0%BE%D0%B2%D0%BE%D1%80_%D1%81%D1%82%D1%80%D0%B0%D1%85%D0%BE%D0%B2%D0%B0%D0%BD%D0%B8%D1%8F</vt:lpwstr>
      </vt:variant>
      <vt:variant>
        <vt:lpwstr/>
      </vt:variant>
      <vt:variant>
        <vt:i4>5439558</vt:i4>
      </vt:variant>
      <vt:variant>
        <vt:i4>33</vt:i4>
      </vt:variant>
      <vt:variant>
        <vt:i4>0</vt:i4>
      </vt:variant>
      <vt:variant>
        <vt:i4>5</vt:i4>
      </vt:variant>
      <vt:variant>
        <vt:lpwstr>http://ru.wikipedia.org/wiki/%D0%9A%D1%80%D0%B5%D0%B4%D0%B8%D1%82</vt:lpwstr>
      </vt:variant>
      <vt:variant>
        <vt:lpwstr/>
      </vt:variant>
      <vt:variant>
        <vt:i4>6029344</vt:i4>
      </vt:variant>
      <vt:variant>
        <vt:i4>30</vt:i4>
      </vt:variant>
      <vt:variant>
        <vt:i4>0</vt:i4>
      </vt:variant>
      <vt:variant>
        <vt:i4>5</vt:i4>
      </vt:variant>
      <vt:variant>
        <vt:lpwstr>http://ru.wikipedia.org/wiki/%D0%A1%D1%82%D1%80%D0%B0%D1%85%D0%BE%D0%B2%D0%B0%D0%BD%D0%B8%D0%B5_%D0%B6%D0%B8%D0%B7%D0%BD%D0%B8</vt:lpwstr>
      </vt:variant>
      <vt:variant>
        <vt:lpwstr/>
      </vt:variant>
      <vt:variant>
        <vt:i4>8323178</vt:i4>
      </vt:variant>
      <vt:variant>
        <vt:i4>27</vt:i4>
      </vt:variant>
      <vt:variant>
        <vt:i4>0</vt:i4>
      </vt:variant>
      <vt:variant>
        <vt:i4>5</vt:i4>
      </vt:variant>
      <vt:variant>
        <vt:lpwstr>http://ru.wikipedia.org/wiki/%D0%9F%D0%BE%D0%B6%D0%B0%D1%80</vt:lpwstr>
      </vt:variant>
      <vt:variant>
        <vt:lpwstr/>
      </vt:variant>
      <vt:variant>
        <vt:i4>7602273</vt:i4>
      </vt:variant>
      <vt:variant>
        <vt:i4>24</vt:i4>
      </vt:variant>
      <vt:variant>
        <vt:i4>0</vt:i4>
      </vt:variant>
      <vt:variant>
        <vt:i4>5</vt:i4>
      </vt:variant>
      <vt:variant>
        <vt:lpwstr>http://ru.wikipedia.org/wiki/%D0%A1%D1%82%D1%80%D0%B0%D1%85%D0%BE%D0%B2%D0%B0%D0%BD%D0%B8%D0%B5_%D0%BE%D1%82_%D0%BE%D0%B3%D0%BD%D1%8F</vt:lpwstr>
      </vt:variant>
      <vt:variant>
        <vt:lpwstr/>
      </vt:variant>
      <vt:variant>
        <vt:i4>2097234</vt:i4>
      </vt:variant>
      <vt:variant>
        <vt:i4>21</vt:i4>
      </vt:variant>
      <vt:variant>
        <vt:i4>0</vt:i4>
      </vt:variant>
      <vt:variant>
        <vt:i4>5</vt:i4>
      </vt:variant>
      <vt:variant>
        <vt:lpwstr>http://ru.wikipedia.org/wiki/%D0%A1%D1%82%D1%80%D0%B0%D1%85%D0%BE%D0%B2%D0%BE%D0%B9_%D1%80%D0%B8%D1%81%D0%BA</vt:lpwstr>
      </vt:variant>
      <vt:variant>
        <vt:lpwstr/>
      </vt:variant>
      <vt:variant>
        <vt:i4>524362</vt:i4>
      </vt:variant>
      <vt:variant>
        <vt:i4>18</vt:i4>
      </vt:variant>
      <vt:variant>
        <vt:i4>0</vt:i4>
      </vt:variant>
      <vt:variant>
        <vt:i4>5</vt:i4>
      </vt:variant>
      <vt:variant>
        <vt:lpwstr>http://ru.wikipedia.org/wiki/%D0%9D%D0%B5%D0%B4%D0%B2%D0%B8%D0%B6%D0%B8%D0%BC%D0%BE%D1%81%D1%82%D1%8C</vt:lpwstr>
      </vt:variant>
      <vt:variant>
        <vt:lpwstr/>
      </vt:variant>
      <vt:variant>
        <vt:i4>5570593</vt:i4>
      </vt:variant>
      <vt:variant>
        <vt:i4>15</vt:i4>
      </vt:variant>
      <vt:variant>
        <vt:i4>0</vt:i4>
      </vt:variant>
      <vt:variant>
        <vt:i4>5</vt:i4>
      </vt:variant>
      <vt:variant>
        <vt:lpwstr>http://ru.wikipedia.org/wiki/%D0%A6%D0%B5%D0%BD%D0%BD%D1%8B%D0%B5_%D0%B1%D1%83%D0%BC%D0%B0%D0%B3%D0%B8</vt:lpwstr>
      </vt:variant>
      <vt:variant>
        <vt:lpwstr/>
      </vt:variant>
      <vt:variant>
        <vt:i4>2490377</vt:i4>
      </vt:variant>
      <vt:variant>
        <vt:i4>12</vt:i4>
      </vt:variant>
      <vt:variant>
        <vt:i4>0</vt:i4>
      </vt:variant>
      <vt:variant>
        <vt:i4>5</vt:i4>
      </vt:variant>
      <vt:variant>
        <vt:lpwstr>http://ru.wikipedia.org/wiki/%D0%A1%D1%82%D1%80%D0%B0%D1%85%D0%BE%D0%B2%D0%BE%D0%B9_%D1%81%D0%BB%D1%83%D1%87%D0%B0%D0%B9</vt:lpwstr>
      </vt:variant>
      <vt:variant>
        <vt:lpwstr/>
      </vt:variant>
      <vt:variant>
        <vt:i4>2621443</vt:i4>
      </vt:variant>
      <vt:variant>
        <vt:i4>9</vt:i4>
      </vt:variant>
      <vt:variant>
        <vt:i4>0</vt:i4>
      </vt:variant>
      <vt:variant>
        <vt:i4>5</vt:i4>
      </vt:variant>
      <vt:variant>
        <vt:lpwstr>http://ru.wikipedia.org/wiki/%D0%A1%D1%82%D1%80%D0%B0%D1%85%D0%BE%D0%B2%D0%B0%D1%8F_%D0%BA%D0%BE%D0%BC%D0%BF%D0%B0%D0%BD%D0%B8%D1%8F</vt:lpwstr>
      </vt:variant>
      <vt:variant>
        <vt:lpwstr/>
      </vt:variant>
      <vt:variant>
        <vt:i4>327797</vt:i4>
      </vt:variant>
      <vt:variant>
        <vt:i4>6</vt:i4>
      </vt:variant>
      <vt:variant>
        <vt:i4>0</vt:i4>
      </vt:variant>
      <vt:variant>
        <vt:i4>5</vt:i4>
      </vt:variant>
      <vt:variant>
        <vt:lpwstr>http://ru.wikipedia.org/wiki/%D0%A1%D1%82%D1%80%D0%B0%D1%85%D0%BE%D0%B2%D1%8B%D0%B5_%D1%80%D0%B5%D0%B7%D0%B5%D1%80%D0%B2%D1%8B</vt:lpwstr>
      </vt:variant>
      <vt:variant>
        <vt:lpwstr/>
      </vt:variant>
      <vt:variant>
        <vt:i4>5242903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http://ru.wikipedia.org/wiki/%D0%A0%D0%B8%D1%81%D0%BA</vt:lpwstr>
      </vt:variant>
      <vt:variant>
        <vt:lpwstr/>
      </vt:variant>
      <vt:variant>
        <vt:i4>5242903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http://ru.wikipedia.org/wiki/%D0%A0%D0%B8%D1%81%D0%BA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2016-12-15T08:32:00Z</dcterms:created>
  <dcterms:modified xsi:type="dcterms:W3CDTF">2016-12-15T08:32:00Z</dcterms:modified>
</cp:coreProperties>
</file>