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B27" w:rsidRDefault="00FD4B27">
      <w:pPr>
        <w:pStyle w:val="a4"/>
      </w:pPr>
      <w:bookmarkStart w:id="0" w:name="_GoBack"/>
      <w:bookmarkEnd w:id="0"/>
      <w:r>
        <w:t>О пополнении энергии звезд</w:t>
      </w:r>
    </w:p>
    <w:p w:rsidR="00FD4B27" w:rsidRDefault="00FD4B27">
      <w:pPr>
        <w:pStyle w:val="a3"/>
      </w:pPr>
      <w:r>
        <w:t>Звёзды могут постоянно терять и приобретать энергию. Но механизм пополнения энергии становится ясен только в случае, если мы исходим из: 1) модели вращающейся вселенной, 2) осознания, что небесные тела – сложные системы, обладающие объемом и поверхностью, и что их нельзя рассматривать как точечные объекты.</w:t>
      </w:r>
    </w:p>
    <w:p w:rsidR="00FD4B27" w:rsidRDefault="00FD4B27">
      <w:pPr>
        <w:pStyle w:val="a3"/>
      </w:pPr>
      <w:r>
        <w:t>Если вселенная не расширяется, а вращается, то она генерирует (внутри себя, внутри своего объема) магнитное поле. И это магнитное поле, заполняющее вселенную, вполне можно рассматривать в качестве самостоятельного источника энергии. Если так, то мы можем предположить, что звезды не являются источниками энергии, а выполняют функцию преобразователя энергии. Они локально, на отдельных участках уменьшают космическое магнитное поле до приемлемого (для нас, например) уровня путем преобразования магнитной энергии в электрическую с выделением огромного количества тепла и света и образованием поверхности раздела.</w:t>
      </w:r>
    </w:p>
    <w:p w:rsidR="00FD4B27" w:rsidRDefault="00FD4B27">
      <w:pPr>
        <w:pStyle w:val="a3"/>
      </w:pPr>
      <w:r>
        <w:t>Магнитное поле вселенной при этом рассматривается как колоссальный, неисчерпаемый энергетический склад. Неисчерпаемый – потому что покинуть пределы вселенной ни вещество, ни энергия не могут.</w:t>
      </w:r>
    </w:p>
    <w:p w:rsidR="00FD4B27" w:rsidRDefault="00FD4B27">
      <w:pPr>
        <w:pStyle w:val="a3"/>
      </w:pPr>
      <w:r>
        <w:t>Магнитное поле вращающейся вселенной есть результат самоиндукции. Иначе можно сказать, что оно есть вихревое поле, поле сил вращения (инертное поле), которое, в свою очередь, является индуцированным гравитационным полем [1].</w:t>
      </w:r>
    </w:p>
    <w:p w:rsidR="00FD4B27" w:rsidRDefault="00FD4B27">
      <w:pPr>
        <w:pStyle w:val="a3"/>
      </w:pPr>
      <w:r>
        <w:t>Далее. Современная физика предпочитает рассматривать тела в качестве некой точки, а не как систему. Из-за этого, например, не ставится вопрос о наличии у тела (сложной системы) объема и поверхности, обладающими разными, по сути противоположными видами энергии. Денисова [2] пишет, рассматривая кристаллы, что объем кристалла заполнен магнитной составляющей, а поверхность – электрической составляющей электромагнитного поля. По Кадырову, Денисовой, Асанбаевой [1, 2, 3], кристаллическое устройство имеет огромное число систем: вселенная и ее составные части (галактики), небесные тела (по Денисовой, Земля), атом и ядро атома – в виде протон-нейтронной решетки – и др. Кристаллическое устройство – энергосберегающее, процесс образования решетки есть процесс самоорганизации системы.</w:t>
      </w:r>
    </w:p>
    <w:p w:rsidR="00FD4B27" w:rsidRDefault="00FD4B27">
      <w:pPr>
        <w:pStyle w:val="a3"/>
      </w:pPr>
      <w:r>
        <w:t>По Кадырову и Бондаренко [1, 4] природа магнитной и кинетической энергии едина, кинетическая энергия может воплощаться в магнитной, механической, инертной и т.д. Потенциальная, наоборот, воплощается в электрической, тепловой, гравитационной (энергии связи) и т.д., т.е. природа этих видов энергии также едина. Отсюда: объем небесного тела может обладать кинетической энергией, а поверхность – потенциальной; в этом случае линейная скорость объекта при продвижении по орбите будет велика, а угловая скорость (вращения) – относительно невелика. По Кадырову, спин-орбитальный момент будет преобладать над спин-спиновым, т.к., согласно [1], полная сила гравитации состоит из трех членов: нелокального (сила Ньютона) и двух локальных – спин-спинового и спин-орбитального, причем первый член имеет гравитационное (электрическое) происхождение, а два вторых – инертное (магнитное) происхождение.</w:t>
      </w:r>
    </w:p>
    <w:p w:rsidR="00FD4B27" w:rsidRDefault="00FD4B27">
      <w:pPr>
        <w:pStyle w:val="a3"/>
      </w:pPr>
      <w:r>
        <w:t>Однако мы можем встретиться с обратной ситуацией, когда спин-спиновый момент будет преобладать над спин-орбитальным. В этом случае объем небесного тела будет обладать потенциальной энергией, а поверхность – кинетической. Т.е. такое тело будет сравнительно быстро вращаться (речь идет о его поверхностных слоях), внешнее магнитное поле такого тела будет больше, масса – также больше, а размеры, напротив, – меньше [1], что ведет к возрастанию внутреннего давления, плотности, температуры. Сильнее будет выражен процесс сепарации вещества и его разделения по слоям. Отсюда: линейная скорость такого объекта-гироскопа уменьшается, т.е. его спин-орбитальный момент невелик.</w:t>
      </w:r>
    </w:p>
    <w:p w:rsidR="00FD4B27" w:rsidRDefault="00FD4B27">
      <w:pPr>
        <w:pStyle w:val="a3"/>
      </w:pPr>
      <w:r>
        <w:t>В афелии спин-спиновый член преобладает над спин-орбитальным. В перигелии – наоборот.</w:t>
      </w:r>
    </w:p>
    <w:p w:rsidR="00FD4B27" w:rsidRDefault="00FD4B27">
      <w:pPr>
        <w:pStyle w:val="a3"/>
      </w:pPr>
      <w:r>
        <w:t>Линейная и угловая скорость всегда зависят друг от друга – благодаря закону сохранения количества движения. Другое дело, что эта зависимость не всегда прямо проявляется. Например, увеличение кинетической энергии поверхности не обязательно приведет к видимому возрастанию скорости вращения поверхностных слоев (оболочки), т.к. полученная энергия может равномерно или неравномерно распределяться между всеми внутренними оболочками и подоболочками, каждая из которых имеет свой момент вращения. Зависимость, однако, выразится в изменении соотношения между кинетической и потенциальной энергией объема и поверхности.</w:t>
      </w:r>
    </w:p>
    <w:p w:rsidR="00FD4B27" w:rsidRDefault="00FD4B27">
      <w:pPr>
        <w:pStyle w:val="a3"/>
      </w:pPr>
      <w:r>
        <w:t>Прямое увеличение линейной скорости также может не всегда происходить: при охлаждении и кристаллизации небесного тела его внутренняя кинетическая энергия ( = магнитная энергия объема) может быть затрачена на создание кристаллической решетки, а не на внешнее движение.</w:t>
      </w:r>
    </w:p>
    <w:p w:rsidR="00FD4B27" w:rsidRDefault="00FD4B27">
      <w:pPr>
        <w:pStyle w:val="a3"/>
      </w:pPr>
      <w:r>
        <w:t>Всякое небесное тело само по себе остывает, стремится охлаждаться, и этим самым потенциальная энергия его объема самопроизвольно переходит в кинетическую, т.е. спин-спиновый член замещается спин-орбитальным. При этом поверхностные слои, наоборот, теряют кинетическую энергию и получают взамен потенциальную, т.е. тело затормаживает свое вращение. Но при переходе из точки перигелия в точку афелия этот процесс вынужденно осуществляется вспять: тело вновь разогревается и кинетическая энергия его поверхностных слоев возрастает. Таким образом, тела самопроизвольно стремятся к энергетически выгодному состоянию – преобладанию кинетической (магнитной) энергии внутри себя, и лишь воздействие сторонних сил нарушает этот естественный процесс. В данном случае магнитная энергия играет роль “энергетического склада” и выражает собой энергетический запас системы. Чем меньше воздействующая со стороны сила, тем больше запас. По Бондаренко [4], это есть нормальное, или оптимальное состояние.</w:t>
      </w:r>
    </w:p>
    <w:p w:rsidR="00FD4B27" w:rsidRDefault="00FD4B27">
      <w:pPr>
        <w:pStyle w:val="a3"/>
      </w:pPr>
      <w:r>
        <w:t>Самопроизвольный переход от потенциальной энергии к кинетической удовлетворяет: а) принципу наименьшего действия, б) принципу отрицательной обратной связи. Автор называет его стрелой оптимальности. Самопроизвольный переход есть следствие самоорганизации системы.</w:t>
      </w:r>
    </w:p>
    <w:p w:rsidR="00FD4B27" w:rsidRDefault="00FD4B27">
      <w:pPr>
        <w:pStyle w:val="a3"/>
      </w:pPr>
      <w:r>
        <w:t>Все небесные тела, будучи сложными системами, продвигаются по эллиптическим орбитам, т.е. имеют точки афелия и перигелия и соответственно изменяющуюся (переменную) массу. Это относится и к системам тел.</w:t>
      </w:r>
    </w:p>
    <w:p w:rsidR="00FD4B27" w:rsidRDefault="00FD4B27">
      <w:pPr>
        <w:pStyle w:val="a3"/>
      </w:pPr>
      <w:r>
        <w:t>Земля обращается вокруг Солнца по эллиптической орбите, Солнце с Солнечной системой обращается внутри Галактики по эллиптической орбите, Галактика внутри скопления – также по эллиптической, скопление в сверхскоплении – опять-таки по эллиптической. Т.е. на каждом уровне мы имеем переменную массу и изменяющееся соотношение между спин-спиновым и спин-орбитальным членами. Если Солнце перейдет из афелия в перигелий, то его спин-орбитальный момент возрастет, масса уменьшится (с увеличением размеров), соответственно уменьшится температура, светимость и др. А планеты перейдут на дальние орбиты (т.е. их спин-спиновый момент увеличится со всеми вытекающими последствиями). При продвижении к афелию всё повторится вспять.</w:t>
      </w:r>
    </w:p>
    <w:p w:rsidR="00FD4B27" w:rsidRDefault="00FD4B27">
      <w:pPr>
        <w:pStyle w:val="a3"/>
      </w:pPr>
      <w:r>
        <w:t>Но сама Галактика может находиться в собственном афелии или перигелии (скопленческого уровня). И именно от этого зависит общий энергетический запас, полученный Солнцем и другими звездами. Период оборота Солнца вокруг центра масс Галактики (рассчитан как Т = 220 млн. земных лет) может в действительности меняться: в скопленческом афелии он один, перигелии – другой, т.е. должны быть отклонения от цифры 220 млн. Причем это зависит также от вращения на всех уровнях: и на уровне Галактики, и на уровне скопления, на уровне сверхскопления и т.п. Каждый раз энергетическая картина будет различаться, как не повторяются узоры калейдоскопа. В результате действует т.н. закон неповторимости звездных моментов.</w:t>
      </w:r>
    </w:p>
    <w:p w:rsidR="00FD4B27" w:rsidRDefault="00FD4B27">
      <w:pPr>
        <w:pStyle w:val="a3"/>
      </w:pPr>
      <w:r>
        <w:t>Если афелии всех уровней (звездный, галактический, скопленческий, сверхскопленческий) случайно совпадут, то произойдет резонанс и звезда может получить огромный энергетический импульс, ее спин-спиновый момент резонансно возрастет. В результате может произойти взрыв сверхновой. Назовем это парадом афелиев. Также нежелателен и парад перигелиев – звезда может превратиться в пылегазовую туманность.</w:t>
      </w:r>
    </w:p>
    <w:p w:rsidR="00FD4B27" w:rsidRDefault="00FD4B27">
      <w:pPr>
        <w:pStyle w:val="a3"/>
      </w:pPr>
      <w:r>
        <w:t>В зависимости от энергетических уровней звезды занимают те или иные места в галактиках. И соответственно от энергетического уровня зависит форма галактик.</w:t>
      </w:r>
    </w:p>
    <w:p w:rsidR="00FD4B27" w:rsidRDefault="00FD4B27">
      <w:pPr>
        <w:pStyle w:val="a3"/>
      </w:pPr>
      <w:r>
        <w:t>Также следует указать, что небесным объектам всех уровней присущи прецессионные и нутационные явления. Солнце, например, может совершать прецессии и нутации под влиянием планет, других звезд, с которыми оно связано благодаря межзвездному (галактическому) полю, участвовать в прецессионных и нутационных процессах скопления галактик и т.д. Нутация есть постоянный, волнообразный обмен кинетической и потенциальной энергией между поверхностью и объемом. И именно внутригалактической нутацией, на взгляд автора, объясняются 11-летние циклы солнечной активности.</w:t>
      </w:r>
    </w:p>
    <w:p w:rsidR="00FD4B27" w:rsidRDefault="00FD4B27">
      <w:pPr>
        <w:pStyle w:val="a3"/>
        <w:jc w:val="center"/>
        <w:rPr>
          <w:b/>
          <w:bCs/>
        </w:rPr>
      </w:pPr>
      <w:r>
        <w:rPr>
          <w:b/>
          <w:bCs/>
        </w:rPr>
        <w:t>Литература:</w:t>
      </w:r>
    </w:p>
    <w:p w:rsidR="00FD4B27" w:rsidRDefault="00FD4B27">
      <w:pPr>
        <w:numPr>
          <w:ilvl w:val="0"/>
          <w:numId w:val="1"/>
        </w:num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С.К.Кадыров. Всеобщая физическая теория единого поля. Бишкек: Кыргыз Жер (журнал) №1/2001. </w:t>
      </w:r>
    </w:p>
    <w:p w:rsidR="00FD4B27" w:rsidRDefault="00FD4B27">
      <w:pPr>
        <w:numPr>
          <w:ilvl w:val="0"/>
          <w:numId w:val="1"/>
        </w:num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Н.А.Денисова. В чем заблуждаются физики? Бишкек: Илим, 2000. </w:t>
      </w:r>
    </w:p>
    <w:p w:rsidR="00FD4B27" w:rsidRDefault="00FD4B27">
      <w:pPr>
        <w:numPr>
          <w:ilvl w:val="0"/>
          <w:numId w:val="1"/>
        </w:num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Дж.А.Асанбаева. Новая модель ядра атома в виде протон-нейтронной решетки. Бишкек: Кыргыз Жер (журнал) №1/2001. </w:t>
      </w:r>
    </w:p>
    <w:p w:rsidR="00FD4B27" w:rsidRDefault="00FD4B27">
      <w:pPr>
        <w:numPr>
          <w:ilvl w:val="0"/>
          <w:numId w:val="1"/>
        </w:num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О.Я.Бондаренко. Заметки на полях Солнца (на правах рукописи). Бишкек: 2001. </w:t>
      </w:r>
    </w:p>
    <w:p w:rsidR="00FD4B27" w:rsidRDefault="00FD4B27">
      <w:pPr>
        <w:rPr>
          <w:sz w:val="24"/>
          <w:szCs w:val="24"/>
        </w:rPr>
      </w:pPr>
    </w:p>
    <w:sectPr w:rsidR="00FD4B27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1DDA"/>
    <w:multiLevelType w:val="hybridMultilevel"/>
    <w:tmpl w:val="E1040900"/>
    <w:lvl w:ilvl="0" w:tplc="AF1EB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0860CB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9A8F06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666B1B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6E93F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9DA281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394326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2A82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55404E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87BDD"/>
    <w:rsid w:val="0078092A"/>
    <w:rsid w:val="00826245"/>
    <w:rsid w:val="008E2D85"/>
    <w:rsid w:val="00F87BDD"/>
    <w:rsid w:val="00FD4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styleId="a4">
    <w:name w:val="Title"/>
    <w:basedOn w:val="a"/>
    <w:link w:val="a5"/>
    <w:uiPriority w:val="99"/>
    <w:qFormat/>
    <w:pPr>
      <w:jc w:val="center"/>
    </w:pPr>
    <w:rPr>
      <w:b/>
      <w:bCs/>
      <w:sz w:val="28"/>
      <w:szCs w:val="28"/>
    </w:rPr>
  </w:style>
  <w:style w:type="character" w:customStyle="1" w:styleId="a5">
    <w:name w:val="Название Знак"/>
    <w:link w:val="a4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1140</Words>
  <Characters>7863</Characters>
  <Application>Microsoft Office Word</Application>
  <DocSecurity>0</DocSecurity>
  <Lines>119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пополнении энергии звезд</vt:lpstr>
    </vt:vector>
  </TitlesOfParts>
  <Company/>
  <LinksUpToDate>false</LinksUpToDate>
  <CharactersWithSpaces>9003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пополнении энергии звезд</dc:title>
  <dc:subject/>
  <dc:creator/>
  <cp:keywords/>
  <dc:description/>
  <cp:lastModifiedBy>Alex</cp:lastModifiedBy>
  <cp:revision>2</cp:revision>
  <dcterms:created xsi:type="dcterms:W3CDTF">2016-12-19T16:32:00Z</dcterms:created>
  <dcterms:modified xsi:type="dcterms:W3CDTF">2016-12-19T16:32:00Z</dcterms:modified>
</cp:coreProperties>
</file>