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C1B" w:rsidRDefault="00D62A27">
      <w:pPr>
        <w:pStyle w:val="a3"/>
        <w:rPr>
          <w:b/>
          <w:bCs/>
        </w:rPr>
      </w:pPr>
      <w:bookmarkStart w:id="0" w:name="_GoBack"/>
      <w:bookmarkEnd w:id="0"/>
      <w:r>
        <w:br/>
      </w:r>
      <w:r>
        <w:br/>
        <w:t>План</w:t>
      </w:r>
      <w:r>
        <w:br/>
        <w:t xml:space="preserve">Введение </w:t>
      </w:r>
      <w:r>
        <w:br/>
      </w:r>
      <w:r>
        <w:rPr>
          <w:b/>
          <w:bCs/>
        </w:rPr>
        <w:t>1 История</w:t>
      </w:r>
      <w:r>
        <w:br/>
      </w:r>
      <w:r>
        <w:rPr>
          <w:b/>
          <w:bCs/>
        </w:rPr>
        <w:t>2 Географическое положение</w:t>
      </w:r>
      <w:r>
        <w:br/>
      </w:r>
      <w:r>
        <w:rPr>
          <w:b/>
          <w:bCs/>
        </w:rPr>
        <w:t>3 Муниципальное образование</w:t>
      </w:r>
      <w:r>
        <w:br/>
      </w:r>
      <w:r>
        <w:rPr>
          <w:b/>
          <w:bCs/>
        </w:rPr>
        <w:t>4 СМИ</w:t>
      </w:r>
      <w:r>
        <w:br/>
      </w:r>
      <w:r>
        <w:rPr>
          <w:b/>
          <w:bCs/>
        </w:rPr>
        <w:t>5 Экономика</w:t>
      </w:r>
      <w:r>
        <w:br/>
      </w:r>
      <w:r>
        <w:rPr>
          <w:b/>
          <w:bCs/>
        </w:rPr>
        <w:t>6 Учреждения доп. образования</w:t>
      </w:r>
      <w:r>
        <w:br/>
      </w:r>
      <w:r>
        <w:rPr>
          <w:b/>
          <w:bCs/>
        </w:rPr>
        <w:t>Список литературы</w:t>
      </w:r>
    </w:p>
    <w:p w:rsidR="00EE2C1B" w:rsidRDefault="00D62A27">
      <w:pPr>
        <w:pStyle w:val="21"/>
        <w:pageBreakBefore/>
        <w:numPr>
          <w:ilvl w:val="0"/>
          <w:numId w:val="0"/>
        </w:numPr>
      </w:pPr>
      <w:r>
        <w:t>Введение</w:t>
      </w:r>
    </w:p>
    <w:p w:rsidR="00EE2C1B" w:rsidRDefault="00D62A27">
      <w:pPr>
        <w:pStyle w:val="a3"/>
      </w:pPr>
      <w:r>
        <w:t>Берёзовский — город (с 1938) в России, областного подчинения Свердловской области, город-спутник Екатеринбурга.</w:t>
      </w:r>
    </w:p>
    <w:p w:rsidR="00EE2C1B" w:rsidRDefault="00D62A27">
      <w:pPr>
        <w:pStyle w:val="a3"/>
      </w:pPr>
      <w:r>
        <w:t>Население 49 492 человека (2010)</w:t>
      </w:r>
      <w:r>
        <w:rPr>
          <w:position w:val="10"/>
        </w:rPr>
        <w:t>[1]</w:t>
      </w:r>
      <w:r>
        <w:t>.</w:t>
      </w:r>
    </w:p>
    <w:p w:rsidR="00EE2C1B" w:rsidRDefault="00D62A27">
      <w:pPr>
        <w:pStyle w:val="a3"/>
      </w:pPr>
      <w:r>
        <w:t>Город расположен на реке Берёзовка (приток Пышмы).</w:t>
      </w:r>
    </w:p>
    <w:p w:rsidR="00EE2C1B" w:rsidRDefault="00D62A27">
      <w:pPr>
        <w:pStyle w:val="21"/>
        <w:pageBreakBefore/>
        <w:numPr>
          <w:ilvl w:val="0"/>
          <w:numId w:val="0"/>
        </w:numPr>
      </w:pPr>
      <w:r>
        <w:t>1. История</w:t>
      </w:r>
    </w:p>
    <w:p w:rsidR="00EE2C1B" w:rsidRDefault="00D62A27">
      <w:pPr>
        <w:pStyle w:val="a3"/>
      </w:pPr>
      <w:r>
        <w:t>Статус города получил 10 июля 1938 года. Основание города многие источники относят к 1748 году, когда было совершено открытие жильного золота. Про редкую находку золотого самородка раскольником Ерофеем Сидоровичем Марковым поведал знаменитый уральский писатель П. П. Бажов в сказе «Золотые дайки». В то время считалось, что в северных странах нет золота. Но 21 мая (1 июня) 1745 года в канцелярию главного начальника горных заводов Уральского хребта в Екатеринбурге обратился крестьянин Марков и заявил, что во время поисков горного хрусталя были найдены крупинки, похожие на золото. Обследование показало, что это действительно золото. Но геологическая партия в течение двух лет не могла обнаружить драгоценный металл в указанном месте. И только осенью 1747 года было найдено первое месторождение, которое разрабатывалось уже в 1748 году. Это положило начало новой для России золотодобывающей отрасли промышленности.</w:t>
      </w:r>
    </w:p>
    <w:p w:rsidR="00EE2C1B" w:rsidRDefault="00D62A27">
      <w:pPr>
        <w:pStyle w:val="a3"/>
      </w:pPr>
      <w:r>
        <w:t>30 января (10 февраля) 1757 года в Санкт-Петербург был отправлен золотой слиток весом 2,7 кг. С этого начал свою жизнь Берёзовский завод. А в 1814 году было найдено рассыпное золото на берегах реки Берёзовка. Это двойное открытие отображено на гербе города: Лев символизирует самого первооткрывателя Ерофея Маркова, вензель в его лапе символизирует золото (круг в центре — рудное золото, корона — рассыпное).</w:t>
      </w:r>
    </w:p>
    <w:p w:rsidR="00EE2C1B" w:rsidRDefault="00D62A27">
      <w:pPr>
        <w:pStyle w:val="a3"/>
      </w:pPr>
      <w:r>
        <w:t>К концу XVIII века в составе Берёзовых промыслов насчитывалось уже более 50 рудников. К 1860 году Берёзовский завод был крупным поселением, превосходил такие губернские города как Красноярск, Чита, Якутск, уступая лишь Екатеринбургу и Перми. Большинство жителей поселения работало на золотых приисках, а также на свечной и прядильной фабриках, построенных в 1805 году. С начала XIX века четверть населения занималась сапоженым ремеслом. После 1840 года расцвёл промысел гранильщиков драгоценных и местных поделочных камней (мрамор, змеевик, лиственит, яшма).</w:t>
      </w:r>
    </w:p>
    <w:p w:rsidR="00EE2C1B" w:rsidRDefault="00D62A27">
      <w:pPr>
        <w:pStyle w:val="a3"/>
      </w:pPr>
      <w:r>
        <w:t>Помимо минералов и строительных материалов (песок, камень, щебень, глина, известняк), Берёзовский богат торфом. В годы первых пятилеток и Великой Отечественной войны два торфопредприятия снабжали топливом Уралмаш, Новотрубный завод и другие оборонные предприятия.</w:t>
      </w:r>
    </w:p>
    <w:p w:rsidR="00EE2C1B" w:rsidRDefault="00D62A27">
      <w:pPr>
        <w:pStyle w:val="21"/>
        <w:pageBreakBefore/>
        <w:numPr>
          <w:ilvl w:val="0"/>
          <w:numId w:val="0"/>
        </w:numPr>
      </w:pPr>
      <w:r>
        <w:t>2. Географическое положение</w:t>
      </w:r>
    </w:p>
    <w:p w:rsidR="00EE2C1B" w:rsidRDefault="00D62A27">
      <w:pPr>
        <w:pStyle w:val="a3"/>
      </w:pPr>
      <w:r>
        <w:t>Берёзовский находится в 12 км на северо-восток от Екатеринбурга.</w:t>
      </w:r>
    </w:p>
    <w:p w:rsidR="00EE2C1B" w:rsidRDefault="00D62A27">
      <w:pPr>
        <w:pStyle w:val="a3"/>
      </w:pPr>
      <w:r>
        <w:t>Территорию города пересекает железнодорожная магистраль, связывающая Екатеринбург и северо-восточную часть области, европейскую и азиатскую части России, и автомобильные магистрали, обеспечивающие сообщение с южными, восточными и северными регионами страны.</w:t>
      </w:r>
    </w:p>
    <w:p w:rsidR="00EE2C1B" w:rsidRDefault="00D62A27">
      <w:pPr>
        <w:pStyle w:val="21"/>
        <w:pageBreakBefore/>
        <w:numPr>
          <w:ilvl w:val="0"/>
          <w:numId w:val="0"/>
        </w:numPr>
      </w:pPr>
      <w:r>
        <w:t>3. Муниципальное образование</w:t>
      </w:r>
    </w:p>
    <w:p w:rsidR="00EE2C1B" w:rsidRDefault="00D62A27">
      <w:pPr>
        <w:pStyle w:val="a3"/>
      </w:pPr>
      <w:r>
        <w:t>Город Берёзовский является центром городского округа «Берёзовский».</w:t>
      </w:r>
    </w:p>
    <w:p w:rsidR="00EE2C1B" w:rsidRDefault="00D62A27">
      <w:pPr>
        <w:pStyle w:val="a3"/>
      </w:pPr>
      <w:r>
        <w:t>Берёзовский городской округ занимает территорию 1164 км² и включает город Берёзовский и посёлки: Монетный (с населёнными пунктами Липовский, Мурзинский, Молодёжный, Островное), Лосиный (с населенными пунктами Зелёный Дол, Безречный, Лубяной, Солнечный), Кедровка (Красногвардейский, Октябрьский), Ключевск, Старопышминск, Сарапулка с посёлком Становая, поселок Шиловский</w:t>
      </w:r>
    </w:p>
    <w:p w:rsidR="00EE2C1B" w:rsidRDefault="00D62A27">
      <w:pPr>
        <w:pStyle w:val="a3"/>
      </w:pPr>
      <w:r>
        <w:t>Городской округ граничит: с севера — с территорией Режевского района; с востока — с территорией городского округа «г. Асбест»; с юго-востока — с территорией городского округа «г. Заречный»; с юга — с территорией Белоярского района и территорией городского округа «г. Екатеринбург»; с запада — с территорией городского округа «г. Верхняя Пышма».</w:t>
      </w:r>
    </w:p>
    <w:p w:rsidR="00EE2C1B" w:rsidRDefault="00D62A27">
      <w:pPr>
        <w:pStyle w:val="21"/>
        <w:pageBreakBefore/>
        <w:numPr>
          <w:ilvl w:val="0"/>
          <w:numId w:val="0"/>
        </w:numPr>
      </w:pPr>
      <w:r>
        <w:t>4. СМИ</w:t>
      </w:r>
    </w:p>
    <w:p w:rsidR="00EE2C1B" w:rsidRDefault="00D62A27">
      <w:pPr>
        <w:pStyle w:val="a3"/>
      </w:pPr>
      <w:r>
        <w:t>В городе выходят две газеты: независимая общественно-политическая газета «Золотая горка» и муниципальная общественно-политическая газета «Берёзовский рабочий» (с 1937 г.).</w:t>
      </w:r>
    </w:p>
    <w:p w:rsidR="00EE2C1B" w:rsidRDefault="00D62A27">
      <w:pPr>
        <w:pStyle w:val="21"/>
        <w:pageBreakBefore/>
        <w:numPr>
          <w:ilvl w:val="0"/>
          <w:numId w:val="0"/>
        </w:numPr>
      </w:pPr>
      <w:r>
        <w:t>5. Экономика</w:t>
      </w:r>
    </w:p>
    <w:p w:rsidR="00EE2C1B" w:rsidRDefault="00D62A27">
      <w:pPr>
        <w:pStyle w:val="a3"/>
      </w:pPr>
      <w:r>
        <w:t>Основу современной экономики составляют 16 крупных предприятий. Ведущие отрасли промышленности — металлургия, производство строительных материалов, машиностроение, строительство, горнодобывающая промышленность, сельское хозяйство, лесное хозяйство, деревообработка.</w:t>
      </w:r>
    </w:p>
    <w:p w:rsidR="00EE2C1B" w:rsidRDefault="00D62A27">
      <w:pPr>
        <w:pStyle w:val="a3"/>
      </w:pPr>
      <w:r>
        <w:t>Ведущие предприятия:</w:t>
      </w:r>
    </w:p>
    <w:p w:rsidR="00EE2C1B" w:rsidRDefault="00D62A27">
      <w:pPr>
        <w:pStyle w:val="a3"/>
      </w:pPr>
      <w:r>
        <w:rPr>
          <w:i/>
          <w:iCs/>
        </w:rPr>
        <w:t>ООО «Берёзовское рудоуправление»</w:t>
      </w:r>
      <w:r>
        <w:t xml:space="preserve"> 30 января (10 февраля) 1757 года в Санкт-Петербург был отправлен золотой слиток весом в 2,7 кг. С выдачи этого слитка начал свою жизнь Берёзовский завод. В том же году новое предприятие погасило все расходы на своё обзаведение. В царскую казну сначала ручейком, а потом рекой потекло высокопробное берёзовское золото. В настоящие время рудоуправление производит добычу основных кварцево-сульфидных золотосодержащих руд шахтным способом, перерабатывает руду на флото-гравитационной обогатительной фабрике, с получением золотосодержащих концентратов для последующей переработки на заводах цветной металлургии.</w:t>
      </w:r>
    </w:p>
    <w:p w:rsidR="00EE2C1B" w:rsidRDefault="00D62A27">
      <w:pPr>
        <w:pStyle w:val="a3"/>
      </w:pPr>
      <w:r>
        <w:rPr>
          <w:i/>
          <w:iCs/>
        </w:rPr>
        <w:t>Берёзовский завод строительных конструкций</w:t>
      </w:r>
      <w:r>
        <w:t>, созданный в июле 1944 года (сборный железобетон, бетонные изделия). В конце 1945 года на территории завода был собран первый в СССР крупнопанельный дом. Все ГРЭС и ТЭЦ Урала, Сибири, Казахстана и Дальнего Востока построены из конструкций БЗСК.</w:t>
      </w:r>
    </w:p>
    <w:p w:rsidR="00EE2C1B" w:rsidRDefault="00D62A27">
      <w:pPr>
        <w:pStyle w:val="a3"/>
      </w:pPr>
      <w:r>
        <w:rPr>
          <w:i/>
          <w:iCs/>
        </w:rPr>
        <w:t>Берёзовский механический завод</w:t>
      </w:r>
      <w:r>
        <w:t xml:space="preserve"> организован в 1963 году для капитального ремонта строительной техники, а также для изготовления запасных частей и узлов. Сейчас специализируется на производстве трубоукладчиков и гидроцилиндров.</w:t>
      </w:r>
    </w:p>
    <w:p w:rsidR="00EE2C1B" w:rsidRDefault="00D62A27">
      <w:pPr>
        <w:pStyle w:val="a3"/>
      </w:pPr>
      <w:r>
        <w:rPr>
          <w:i/>
          <w:iCs/>
        </w:rPr>
        <w:t>Монетный трактороремонтный завод</w:t>
      </w:r>
      <w:r>
        <w:t xml:space="preserve"> специализируется на капитальном ремонте тракторов, трелёвочных агрегатов, изготовлении лесопогрузчиков, щтамповок, запасных частей для тракторов.</w:t>
      </w:r>
    </w:p>
    <w:p w:rsidR="00EE2C1B" w:rsidRDefault="00D62A27">
      <w:pPr>
        <w:pStyle w:val="a3"/>
      </w:pPr>
      <w:r>
        <w:rPr>
          <w:i/>
          <w:iCs/>
        </w:rPr>
        <w:t>Уральский завод прецизионных сплавов</w:t>
      </w:r>
      <w:r>
        <w:t xml:space="preserve"> представляет чёрную металлургию. С 1977 года он выпускает прокат, ленту из прецизионных сплавов, стальную проволоку.</w:t>
      </w:r>
    </w:p>
    <w:p w:rsidR="00EE2C1B" w:rsidRDefault="00D62A27">
      <w:pPr>
        <w:pStyle w:val="a3"/>
      </w:pPr>
      <w:r>
        <w:t xml:space="preserve">Теплотехническое, котельно-сварочное оборудование для предприятий металлургии выпускает завод </w:t>
      </w:r>
      <w:r>
        <w:rPr>
          <w:i/>
          <w:iCs/>
        </w:rPr>
        <w:t>«Энергоцветмет».</w:t>
      </w:r>
      <w:r>
        <w:t xml:space="preserve"> В 1960 году возникла </w:t>
      </w:r>
      <w:r>
        <w:rPr>
          <w:i/>
          <w:iCs/>
        </w:rPr>
        <w:t>Берёзовская ковровая фабрика</w:t>
      </w:r>
      <w:r>
        <w:t>. В настоящее время производит полушерстяные и полипропиленовые ковры и ковровые изделия.</w:t>
      </w:r>
    </w:p>
    <w:p w:rsidR="00EE2C1B" w:rsidRDefault="00D62A27">
      <w:pPr>
        <w:pStyle w:val="a3"/>
      </w:pPr>
      <w:r>
        <w:rPr>
          <w:i/>
          <w:iCs/>
        </w:rPr>
        <w:t>Группа компаний «Brozex»</w:t>
      </w:r>
      <w:r>
        <w:t xml:space="preserve"> выпускает строительные материалы — сухие смеси и лакокрасочные изделия.</w:t>
      </w:r>
    </w:p>
    <w:p w:rsidR="00EE2C1B" w:rsidRDefault="00D62A27">
      <w:pPr>
        <w:pStyle w:val="a3"/>
      </w:pPr>
      <w:r>
        <w:t>Оборот предприятий и организаций, по обрабатывающим производствам за 2007 г. составил 6,3 млрд.руб.</w:t>
      </w:r>
    </w:p>
    <w:p w:rsidR="00EE2C1B" w:rsidRDefault="00D62A27">
      <w:pPr>
        <w:pStyle w:val="a3"/>
      </w:pPr>
      <w:r>
        <w:t>Более 1500 предприятий малого и среднего бизнеса.</w:t>
      </w:r>
    </w:p>
    <w:p w:rsidR="00EE2C1B" w:rsidRDefault="00D62A27">
      <w:pPr>
        <w:pStyle w:val="a3"/>
      </w:pPr>
      <w:r>
        <w:t>Перспективы: По проектному предложению разработанному на период до 2025 года предполагается, что на территории 1300 га будут размещены жилые дома средней этажности и постройки эконом класса. Это будет новый район «Зелёная долина», но фактически он будет в два раза больше существующего сейчас города. Планируется, что в нём будет проживать около 80 тыс. человек. Планируется постройка инновационного технопарка.</w:t>
      </w:r>
    </w:p>
    <w:p w:rsidR="00EE2C1B" w:rsidRDefault="00D62A27">
      <w:pPr>
        <w:pStyle w:val="21"/>
        <w:pageBreakBefore/>
        <w:numPr>
          <w:ilvl w:val="0"/>
          <w:numId w:val="0"/>
        </w:numPr>
      </w:pPr>
      <w:r>
        <w:t>6. Учреждения доп. образования</w:t>
      </w:r>
    </w:p>
    <w:p w:rsidR="00EE2C1B" w:rsidRDefault="00D62A27">
      <w:pPr>
        <w:pStyle w:val="a3"/>
        <w:numPr>
          <w:ilvl w:val="0"/>
          <w:numId w:val="2"/>
        </w:numPr>
        <w:tabs>
          <w:tab w:val="left" w:pos="707"/>
        </w:tabs>
        <w:spacing w:after="0"/>
      </w:pPr>
      <w:r>
        <w:t>Музыкальная школа № 1</w:t>
      </w:r>
    </w:p>
    <w:p w:rsidR="00EE2C1B" w:rsidRDefault="00D62A27">
      <w:pPr>
        <w:pStyle w:val="a3"/>
        <w:numPr>
          <w:ilvl w:val="0"/>
          <w:numId w:val="2"/>
        </w:numPr>
        <w:tabs>
          <w:tab w:val="left" w:pos="707"/>
        </w:tabs>
        <w:spacing w:after="0"/>
      </w:pPr>
      <w:r>
        <w:t>Школа искусств № 2</w:t>
      </w:r>
    </w:p>
    <w:p w:rsidR="00EE2C1B" w:rsidRDefault="00D62A27">
      <w:pPr>
        <w:pStyle w:val="a3"/>
        <w:numPr>
          <w:ilvl w:val="0"/>
          <w:numId w:val="2"/>
        </w:numPr>
        <w:tabs>
          <w:tab w:val="left" w:pos="707"/>
        </w:tabs>
        <w:spacing w:after="0"/>
      </w:pPr>
      <w:r>
        <w:t>Детско-юношеская Спортивная Школа (ДЮСШ)</w:t>
      </w:r>
    </w:p>
    <w:p w:rsidR="00EE2C1B" w:rsidRDefault="00D62A27">
      <w:pPr>
        <w:pStyle w:val="a3"/>
        <w:numPr>
          <w:ilvl w:val="0"/>
          <w:numId w:val="2"/>
        </w:numPr>
        <w:tabs>
          <w:tab w:val="left" w:pos="707"/>
        </w:tabs>
        <w:spacing w:after="0"/>
      </w:pPr>
      <w:r>
        <w:t>СОК «Лидер» (бывший КСЦ)</w:t>
      </w:r>
    </w:p>
    <w:p w:rsidR="00EE2C1B" w:rsidRDefault="00D62A27">
      <w:pPr>
        <w:pStyle w:val="a3"/>
        <w:numPr>
          <w:ilvl w:val="0"/>
          <w:numId w:val="2"/>
        </w:numPr>
        <w:tabs>
          <w:tab w:val="left" w:pos="707"/>
        </w:tabs>
      </w:pPr>
      <w:r>
        <w:t>Центр Детского Творчества (ЦДТ)</w:t>
      </w:r>
    </w:p>
    <w:p w:rsidR="00EE2C1B" w:rsidRDefault="00D62A27">
      <w:pPr>
        <w:pStyle w:val="21"/>
        <w:pageBreakBefore/>
        <w:numPr>
          <w:ilvl w:val="0"/>
          <w:numId w:val="0"/>
        </w:numPr>
      </w:pPr>
      <w:r>
        <w:t>Список литературы:</w:t>
      </w:r>
    </w:p>
    <w:p w:rsidR="00EE2C1B" w:rsidRDefault="00D62A27">
      <w:pPr>
        <w:pStyle w:val="a3"/>
        <w:numPr>
          <w:ilvl w:val="0"/>
          <w:numId w:val="1"/>
        </w:numPr>
        <w:tabs>
          <w:tab w:val="left" w:pos="707"/>
        </w:tabs>
      </w:pPr>
      <w:r>
        <w:t>Численность постоянного населения Российской Федерации по городам, посёлкам городского типа и районам на 1 января 2010 г.</w:t>
      </w:r>
    </w:p>
    <w:p w:rsidR="00EE2C1B" w:rsidRDefault="00D62A27">
      <w:pPr>
        <w:pStyle w:val="a3"/>
        <w:spacing w:after="0"/>
      </w:pPr>
      <w:r>
        <w:t>Источник: http://ru.wikipedia.org/wiki/Берёзовский_(Свердловская_область)</w:t>
      </w:r>
    </w:p>
    <w:sectPr w:rsidR="00EE2C1B">
      <w:footnotePr>
        <w:pos w:val="beneathText"/>
      </w:footnotePr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tarSymbol">
    <w:altName w:val="Arial Unicode MS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Liberation Serif">
    <w:altName w:val="Times New Roman"/>
    <w:charset w:val="00"/>
    <w:family w:val="roman"/>
    <w:pitch w:val="variable"/>
  </w:font>
  <w:font w:name="DejaVu Sans">
    <w:altName w:val="Arial"/>
    <w:charset w:val="00"/>
    <w:family w:val="swiss"/>
    <w:pitch w:val="variable"/>
  </w:font>
  <w:font w:name="Albany">
    <w:altName w:val="Arial"/>
    <w:charset w:val="00"/>
    <w:family w:val="swiss"/>
    <w:pitch w:val="variable"/>
  </w:font>
  <w:font w:name="HG Mincho Light J">
    <w:altName w:val="msmincho"/>
    <w:charset w:val="00"/>
    <w:family w:val="auto"/>
    <w:pitch w:val="variable"/>
  </w:font>
  <w:font w:name="Nimbus Sans L">
    <w:altName w:val="Arial"/>
    <w:charset w:val="00"/>
    <w:family w:val="auto"/>
    <w:pitch w:val="default"/>
  </w:font>
  <w:font w:name="Thorndale">
    <w:altName w:val="Times New Roman"/>
    <w:charset w:val="00"/>
    <w:family w:val="roman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RTF_Num 2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">
    <w:nsid w:val="00000002"/>
    <w:multiLevelType w:val="multilevel"/>
    <w:tmpl w:val="00000002"/>
    <w:name w:val="RTF_Num 3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tarSymbol"/>
        <w:sz w:val="18"/>
        <w:szCs w:val="18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pStyle w:val="1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1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isplayBackgroundShape/>
  <w:doNotTrackMoves/>
  <w:doNotTrackFormatting/>
  <w:defaultTabStop w:val="1134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2A27"/>
    <w:rsid w:val="004D0F1B"/>
    <w:rsid w:val="00D5386E"/>
    <w:rsid w:val="00D62A27"/>
    <w:rsid w:val="00EE2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  <w:jc w:val="both"/>
    </w:pPr>
    <w:rPr>
      <w:color w:val="000000"/>
      <w:sz w:val="27"/>
      <w:szCs w:val="27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</w:style>
  <w:style w:type="character" w:customStyle="1" w:styleId="RTFNum22">
    <w:name w:val="RTF_Num 2 2"/>
  </w:style>
  <w:style w:type="character" w:customStyle="1" w:styleId="RTFNum23">
    <w:name w:val="RTF_Num 2 3"/>
  </w:style>
  <w:style w:type="character" w:customStyle="1" w:styleId="RTFNum24">
    <w:name w:val="RTF_Num 2 4"/>
  </w:style>
  <w:style w:type="character" w:customStyle="1" w:styleId="RTFNum25">
    <w:name w:val="RTF_Num 2 5"/>
  </w:style>
  <w:style w:type="character" w:customStyle="1" w:styleId="RTFNum26">
    <w:name w:val="RTF_Num 2 6"/>
  </w:style>
  <w:style w:type="character" w:customStyle="1" w:styleId="RTFNum27">
    <w:name w:val="RTF_Num 2 7"/>
  </w:style>
  <w:style w:type="character" w:customStyle="1" w:styleId="RTFNum28">
    <w:name w:val="RTF_Num 2 8"/>
  </w:style>
  <w:style w:type="character" w:customStyle="1" w:styleId="RTFNum29">
    <w:name w:val="RTF_Num 2 9"/>
  </w:style>
  <w:style w:type="character" w:customStyle="1" w:styleId="RTFNum210">
    <w:name w:val="RTF_Num 2 10"/>
  </w:style>
  <w:style w:type="character" w:customStyle="1" w:styleId="RTFNum31">
    <w:name w:val="RTF_Num 3 1"/>
    <w:rPr>
      <w:rFonts w:ascii="StarSymbol" w:eastAsia="StarSymbol" w:hAnsi="StarSymbol" w:cs="StarSymbol"/>
      <w:sz w:val="18"/>
      <w:szCs w:val="18"/>
    </w:rPr>
  </w:style>
  <w:style w:type="character" w:customStyle="1" w:styleId="RTFNum32">
    <w:name w:val="RTF_Num 3 2"/>
    <w:rPr>
      <w:rFonts w:ascii="StarSymbol" w:eastAsia="StarSymbol" w:hAnsi="StarSymbol" w:cs="StarSymbol"/>
      <w:sz w:val="18"/>
      <w:szCs w:val="18"/>
    </w:rPr>
  </w:style>
  <w:style w:type="character" w:customStyle="1" w:styleId="RTFNum33">
    <w:name w:val="RTF_Num 3 3"/>
    <w:rPr>
      <w:rFonts w:ascii="StarSymbol" w:eastAsia="StarSymbol" w:hAnsi="StarSymbol" w:cs="StarSymbol"/>
      <w:sz w:val="18"/>
      <w:szCs w:val="18"/>
    </w:rPr>
  </w:style>
  <w:style w:type="character" w:customStyle="1" w:styleId="RTFNum34">
    <w:name w:val="RTF_Num 3 4"/>
    <w:rPr>
      <w:rFonts w:ascii="StarSymbol" w:eastAsia="StarSymbol" w:hAnsi="StarSymbol" w:cs="StarSymbol"/>
      <w:sz w:val="18"/>
      <w:szCs w:val="18"/>
    </w:rPr>
  </w:style>
  <w:style w:type="character" w:customStyle="1" w:styleId="RTFNum35">
    <w:name w:val="RTF_Num 3 5"/>
    <w:rPr>
      <w:rFonts w:ascii="StarSymbol" w:eastAsia="StarSymbol" w:hAnsi="StarSymbol" w:cs="StarSymbol"/>
      <w:sz w:val="18"/>
      <w:szCs w:val="18"/>
    </w:rPr>
  </w:style>
  <w:style w:type="character" w:customStyle="1" w:styleId="RTFNum36">
    <w:name w:val="RTF_Num 3 6"/>
    <w:rPr>
      <w:rFonts w:ascii="StarSymbol" w:eastAsia="StarSymbol" w:hAnsi="StarSymbol" w:cs="StarSymbol"/>
      <w:sz w:val="18"/>
      <w:szCs w:val="18"/>
    </w:rPr>
  </w:style>
  <w:style w:type="character" w:customStyle="1" w:styleId="RTFNum37">
    <w:name w:val="RTF_Num 3 7"/>
    <w:rPr>
      <w:rFonts w:ascii="StarSymbol" w:eastAsia="StarSymbol" w:hAnsi="StarSymbol" w:cs="StarSymbol"/>
      <w:sz w:val="18"/>
      <w:szCs w:val="18"/>
    </w:rPr>
  </w:style>
  <w:style w:type="character" w:customStyle="1" w:styleId="RTFNum38">
    <w:name w:val="RTF_Num 3 8"/>
    <w:rPr>
      <w:rFonts w:ascii="StarSymbol" w:eastAsia="StarSymbol" w:hAnsi="StarSymbol" w:cs="StarSymbol"/>
      <w:sz w:val="18"/>
      <w:szCs w:val="18"/>
    </w:rPr>
  </w:style>
  <w:style w:type="character" w:customStyle="1" w:styleId="RTFNum39">
    <w:name w:val="RTF_Num 3 9"/>
    <w:rPr>
      <w:rFonts w:ascii="StarSymbol" w:eastAsia="StarSymbol" w:hAnsi="StarSymbol" w:cs="StarSymbol"/>
      <w:sz w:val="18"/>
      <w:szCs w:val="18"/>
    </w:rPr>
  </w:style>
  <w:style w:type="character" w:customStyle="1" w:styleId="RTFNum310">
    <w:name w:val="RTF_Num 3 10"/>
    <w:rPr>
      <w:rFonts w:ascii="StarSymbol" w:eastAsia="StarSymbol" w:hAnsi="StarSymbol" w:cs="StarSymbol"/>
      <w:sz w:val="18"/>
      <w:szCs w:val="18"/>
    </w:rPr>
  </w:style>
  <w:style w:type="character" w:customStyle="1" w:styleId="EndnoteSymbol">
    <w:name w:val="Endnote Symbol"/>
    <w:rPr>
      <w:rFonts w:ascii="Liberation Serif" w:eastAsia="DejaVu Sans" w:hAnsi="Liberation Serif" w:cs="Liberation Serif"/>
      <w:color w:val="auto"/>
      <w:sz w:val="24"/>
      <w:szCs w:val="24"/>
      <w:lang w:val="en-US"/>
    </w:rPr>
  </w:style>
  <w:style w:type="character" w:customStyle="1" w:styleId="FootnoteSymbol">
    <w:name w:val="Footnote Symbol"/>
    <w:rPr>
      <w:rFonts w:ascii="Liberation Serif" w:eastAsia="DejaVu Sans" w:hAnsi="Liberation Serif" w:cs="Liberation Serif"/>
      <w:color w:val="auto"/>
      <w:sz w:val="24"/>
      <w:szCs w:val="24"/>
      <w:lang w:val="en-US"/>
    </w:rPr>
  </w:style>
  <w:style w:type="character" w:customStyle="1" w:styleId="Internetlink">
    <w:name w:val="Internet link"/>
    <w:rPr>
      <w:rFonts w:ascii="Liberation Serif" w:eastAsia="DejaVu Sans" w:hAnsi="Liberation Serif" w:cs="Liberation Serif"/>
      <w:color w:val="000080"/>
      <w:sz w:val="24"/>
      <w:szCs w:val="24"/>
      <w:u w:val="single"/>
      <w:lang w:val="en-US"/>
    </w:rPr>
  </w:style>
  <w:style w:type="character" w:customStyle="1" w:styleId="BulletSymbols">
    <w:name w:val="Bullet Symbols"/>
    <w:rPr>
      <w:rFonts w:ascii="StarSymbol" w:eastAsia="StarSymbol" w:hAnsi="StarSymbol" w:cs="StarSymbol"/>
      <w:color w:val="auto"/>
      <w:sz w:val="18"/>
      <w:szCs w:val="18"/>
      <w:lang w:val="en-US"/>
    </w:rPr>
  </w:style>
  <w:style w:type="character" w:customStyle="1" w:styleId="NumberingSymbols">
    <w:name w:val="Numbering Symbols"/>
    <w:rPr>
      <w:rFonts w:ascii="Liberation Serif" w:eastAsia="DejaVu Sans" w:hAnsi="Liberation Serif" w:cs="Liberation Serif"/>
      <w:color w:val="auto"/>
      <w:sz w:val="24"/>
      <w:szCs w:val="24"/>
      <w:lang w:val="en-US"/>
    </w:rPr>
  </w:style>
  <w:style w:type="paragraph" w:customStyle="1" w:styleId="Heading">
    <w:name w:val="Heading"/>
    <w:basedOn w:val="a"/>
    <w:next w:val="a3"/>
    <w:pPr>
      <w:keepNext/>
      <w:spacing w:before="240" w:after="283"/>
    </w:pPr>
    <w:rPr>
      <w:rFonts w:ascii="Albany" w:eastAsia="HG Mincho Light J" w:hAnsi="Albany" w:cs="Albany"/>
      <w:sz w:val="28"/>
      <w:szCs w:val="28"/>
    </w:rPr>
  </w:style>
  <w:style w:type="paragraph" w:styleId="a3">
    <w:name w:val="Body Text"/>
    <w:basedOn w:val="a"/>
    <w:semiHidden/>
    <w:pPr>
      <w:spacing w:after="283"/>
    </w:pPr>
  </w:style>
  <w:style w:type="paragraph" w:styleId="a4">
    <w:name w:val="List"/>
    <w:basedOn w:val="a3"/>
    <w:semiHidden/>
  </w:style>
  <w:style w:type="paragraph" w:customStyle="1" w:styleId="1">
    <w:name w:val="Название объекта1"/>
    <w:basedOn w:val="a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a"/>
  </w:style>
  <w:style w:type="paragraph" w:customStyle="1" w:styleId="HorizontalLine">
    <w:name w:val="Horizontal Line"/>
    <w:basedOn w:val="a"/>
    <w:next w:val="a3"/>
    <w:pPr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210">
    <w:name w:val="Обратный адрес 21"/>
    <w:basedOn w:val="a"/>
    <w:rPr>
      <w:i/>
      <w:iCs/>
    </w:rPr>
  </w:style>
  <w:style w:type="paragraph" w:customStyle="1" w:styleId="TableContents">
    <w:name w:val="Table Contents"/>
    <w:basedOn w:val="a3"/>
  </w:style>
  <w:style w:type="paragraph" w:customStyle="1" w:styleId="10">
    <w:name w:val="Нижний колонтитул1"/>
    <w:basedOn w:val="a"/>
    <w:pPr>
      <w:tabs>
        <w:tab w:val="center" w:pos="4818"/>
        <w:tab w:val="right" w:pos="9637"/>
      </w:tabs>
    </w:pPr>
  </w:style>
  <w:style w:type="paragraph" w:customStyle="1" w:styleId="12">
    <w:name w:val="Верхний колонтитул1"/>
    <w:basedOn w:val="a"/>
    <w:pPr>
      <w:tabs>
        <w:tab w:val="center" w:pos="4818"/>
        <w:tab w:val="right" w:pos="9637"/>
      </w:tabs>
    </w:pPr>
  </w:style>
  <w:style w:type="paragraph" w:customStyle="1" w:styleId="11">
    <w:name w:val="Заголовок 11"/>
    <w:basedOn w:val="Heading"/>
    <w:next w:val="a3"/>
    <w:pPr>
      <w:numPr>
        <w:numId w:val="3"/>
      </w:numPr>
      <w:outlineLvl w:val="0"/>
    </w:pPr>
    <w:rPr>
      <w:rFonts w:ascii="Thorndale" w:hAnsi="Thorndale" w:cs="Thorndale"/>
      <w:b/>
      <w:bCs/>
      <w:sz w:val="48"/>
      <w:szCs w:val="48"/>
    </w:rPr>
  </w:style>
  <w:style w:type="paragraph" w:customStyle="1" w:styleId="2">
    <w:name w:val="Название объекта2"/>
    <w:basedOn w:val="a"/>
    <w:pPr>
      <w:spacing w:before="120" w:after="120"/>
    </w:pPr>
    <w:rPr>
      <w:i/>
      <w:iCs/>
      <w:sz w:val="24"/>
      <w:szCs w:val="24"/>
    </w:rPr>
  </w:style>
  <w:style w:type="paragraph" w:customStyle="1" w:styleId="21">
    <w:name w:val="Заголовок 21"/>
    <w:basedOn w:val="Heading"/>
    <w:next w:val="a3"/>
    <w:pPr>
      <w:numPr>
        <w:ilvl w:val="1"/>
        <w:numId w:val="3"/>
      </w:numPr>
      <w:outlineLvl w:val="1"/>
    </w:pPr>
    <w:rPr>
      <w:rFonts w:ascii="Liberation Serif" w:eastAsia="DejaVu Sans" w:hAnsi="Liberation Serif" w:cs="Liberation Serif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876</Words>
  <Characters>6062</Characters>
  <Application>Microsoft Office Word</Application>
  <DocSecurity>0</DocSecurity>
  <Lines>136</Lines>
  <Paragraphs>41</Paragraphs>
  <ScaleCrop>false</ScaleCrop>
  <Company/>
  <LinksUpToDate>false</LinksUpToDate>
  <CharactersWithSpaces>6915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1900-12-31T21:00:00Z</cp:lastPrinted>
  <dcterms:created xsi:type="dcterms:W3CDTF">2016-12-13T05:34:00Z</dcterms:created>
  <dcterms:modified xsi:type="dcterms:W3CDTF">2016-12-13T05:34:00Z</dcterms:modified>
</cp:coreProperties>
</file>