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6CAD" w:rsidRPr="00CE0266" w:rsidRDefault="007D6CAD" w:rsidP="007D6CAD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CE0266">
        <w:rPr>
          <w:b/>
          <w:bCs/>
          <w:sz w:val="32"/>
          <w:szCs w:val="32"/>
        </w:rPr>
        <w:t>Опыт строительства и эксплуатации скважин сложной архитектуры в ОАО «Татнефть»</w:t>
      </w:r>
    </w:p>
    <w:p w:rsidR="007D6CAD" w:rsidRPr="00CE0266" w:rsidRDefault="007D6CAD" w:rsidP="007D6CAD">
      <w:pPr>
        <w:spacing w:before="120"/>
        <w:ind w:firstLine="567"/>
        <w:jc w:val="both"/>
        <w:rPr>
          <w:sz w:val="28"/>
          <w:szCs w:val="28"/>
        </w:rPr>
      </w:pPr>
      <w:r w:rsidRPr="00CE0266">
        <w:rPr>
          <w:sz w:val="28"/>
          <w:szCs w:val="28"/>
        </w:rPr>
        <w:t>Раис Хисамов, д.т.н., ОАО «Татнефть»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 последнее время на многих месторождениях прогнозируемые по фактическим данным коэффициенты нефтеотдачи при реализуемой системе разработки и технологии эксплуатации скважин заметно ниже запроектированных величин. Достижение запроектированных коэффициентов нефтеотдачи требует неотложного проведения эффективных мероприятий с одновременным контролем выработки оставшихся запасов нефти. Это подразумевает применение наряду с традиционными гидродинамическими МУН также и так называемых «горизонтальных» технологий разработки.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Практика показывает, что действенными путями достижения запроектированных величин коэффициента нефтеотдачи сегодня является бурение и эксплуатация скважин сложной архитектуры — горизонтальных (ГС), многозабойных (МГС), разветвленных горизонтальных (РГС) и др., а также реанимация неэффективного фонда скважин путем бурения дополнительных вторых, в частном случае, боковых стволов с горизонтальным окончанием (БГС).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Первые семь ГС на территории Татарстана пробурены в 1976-78 гг. на Тавельском и Сиреневском месторождениях (НГДУ «Ямашнефть») на кизеловский горизонт турнейского яруса. При этом были достигнуты достаточно высокие технико-экономические результаты. В частности, две ГС (№№ 1918,1947) на Западно-Сиреневском участке до сих пор успешно функционируют, третья переведена в нагнетательный фонд.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На 01.09.2003 г. в Татарстане построено около 300 ГС, 96 БГС и 184 боковых стволов (БС). За 2003 год всего построено 47 ГС, 22 БГС и 25 БС (рис. 1).</w:t>
      </w:r>
    </w:p>
    <w:p w:rsidR="007D6CAD" w:rsidRPr="00650933" w:rsidRDefault="00F66E65" w:rsidP="007D6CAD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4.75pt;height:276pt">
            <v:imagedata r:id="rId5" o:title=""/>
          </v:shape>
        </w:pict>
      </w:r>
    </w:p>
    <w:p w:rsidR="007D6CAD" w:rsidRDefault="007D6CAD" w:rsidP="007D6CAD">
      <w:pPr>
        <w:spacing w:before="120"/>
        <w:ind w:firstLine="567"/>
        <w:jc w:val="both"/>
      </w:pPr>
      <w:r w:rsidRPr="00650933">
        <w:t>Характеристика объектов заложения ГС и БГС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Разработка залежей нефти с применением бурения ГС ведется на залежах, приуроченных к стратиграфическим объектам, имеющим достаточно высокие значения этажей нефтеносности или толщину продуктивного пласта. Этот параметр является одним из основных критериев выбора участков для размещения ГС при проектировании систем разработки.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 Татарстане разработка залежей нефти с применением бурения ГС ведется на карбонатных отложениях, имеющих достаточно высокие значения толщин, башкирского, серпуховского, турнейского, заволжского, данково-лебедянского возрастов, и терригенных отложениях бобриковско-радаевского возраста. Рраспределение пробуренного фонда ГС (на 01.09.2003 г.) представлено на рис. 2.</w:t>
      </w:r>
    </w:p>
    <w:p w:rsidR="007D6CAD" w:rsidRPr="00650933" w:rsidRDefault="00F66E65" w:rsidP="007D6CAD">
      <w:pPr>
        <w:spacing w:before="120"/>
        <w:ind w:firstLine="567"/>
        <w:jc w:val="both"/>
      </w:pPr>
      <w:r>
        <w:pict>
          <v:shape id="_x0000_i1026" type="#_x0000_t75" style="width:164.25pt;height:203.25pt">
            <v:imagedata r:id="rId6" o:title=""/>
          </v:shape>
        </w:pic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Самым нижним объектом эксплуатации, разрабатываемым с применением бурения ГС, являются карбонатные отложения данково-лебедянского возраста. Залежи нефти контролируются положительными структурами в основном биогермного типа. Сложены они известняками, которые по своим структурно-генетическим особенностям подразделяются на хемогенные (зернистые), сгустковые и органогенно-детритовые [1].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Характерным для пород данково-лебедянского возраста является: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интенсивное развитие процессов перекристаллизации, обуславливающих их низкие емкостно-фильтрационные свойства;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известняки обладают значительной трещиноватостью, кавернозностью за счет процессов выщелачивания;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по своим емкостно-фильтрационным характеристикам (ЕФХ) коллекторы относятся к типам порово-трещинных и кавернозно-порово-трещинных.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На территории Татарстана породы заволжского горизонта нефтеносны на отдельных участках, в основном, где залежи нефти контролируются высокоамплитудными биогермными поднятиями. На большей же части территории они водонасыщенны. Как правило, нефтеносны два верхних пласта-коллектора из четырех, выделяемых в разрезе и утвержденных стандартом. В перспективе эти отложения могут разрабатываться ГС, при условии наличия как нефтенасыщенных толщин (НТ), так и достаточно значительных площадей нефтеносности с целью соблюдения критерия расстояния ГС от контура нефтеносности в плане. На эти отложения пробурены три ГС на Чегодайском месторождении. Покрышкой для залежей нефти в отложениях заволжского горизонта является пачка известняков, залегающая в кровле разреза.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Выше залегают карбонатные отложения турнейского яруса, на которые к настоящему времени пробурено 163 ГС, что составляет 62,2% от общего фонда ГС. В разрезе турнейского яруса выделяются четыре продуктивных горизонта (сверху вниз): кизеловский (С1кз), черепетский (С1чр), упинский (С1уп) и малевский (С1мл). К ним, соответственно, относятся пласты-коллекторы, индексируемые на некоторых промыслах по старой схеме (снизу вверх), таких как В1, В2, В3 и В4. Они разделены друг от друга уплотненными пачками известняков толщиной от 1 до 7 м, являющимися внутриформационными реперами: С12, С13 и С14. Покрышкой служат глины малиновского возраста. Практически повсеместное распространение получили коллекторы верхнего горизонта турнейского яруса (С1кз). Почти на всей территории Татарстана, где не отмечено перерыва в осадконакоплении и гипсометрически они расположены выше ВНК, эти отложения нефтеносны.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Структурно-генетические разности известняков, слагающих разрез турнейского яруса, по своим ЕФХ четко подразделяются на коллекторы и неколлекторы.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По разрезу турнейского яруса можно сделать следующие выводы: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— породы, сложенные комковатыми, сгустково-детритовыми известняками и «раковинными песчаниками», составляют продуктивную нефтесодержащую часть разреза турнейского яруса, сложенные шламово-детритовыми, фораминиферово-сгустковыми известняками и доломитами — уплотненную часть, не содержащую промышленных скоплений нефти;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— каждая из структурно-генетических разностей, слагающая породы турнейского яруса, обладает специфическими, только ей присущими, петрофизическими свойствами, обуславливающими ЕФХ по разрезу;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— присутствие нескольких структурно-генетических разностей обусловило вертикальную и зональную неоднородность разреза этих отложений;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— содержание плотных разностей увеличивается кратно увеличению с запада на восток;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— покрышкой для продуктивных отложений турнейского яруса служат глины малиновского надгоризонта.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Следующим вышележащим объектом, разработка которого ведется с применением бурения ГС, являются терригенные отложения бобриковско-радаевского возраста (27 ГС). Они сложены песчаниками, в разной степени отсортированными, алевритистыми, и алевролитами, чаще крупнозернистыми. Породы характеризуются мономинеральным кварцевым составом (кварц — 95-99%).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Кроме выделенных литологических типов коллекторов бобриковско-радаевская терригенная толща слагается аргиллитами и углисто-глинистыми сланцами, которые представляют интервалы перемычек между пластами-коллекторами и покрышками. Изменение толщины терригенных пород разреза рассматриваемой толщи обусловлено фациальным изменением и стратиграфической полнотой. По стратиграфической полноте разреза можно выделить в пределах Татарстана следующие подтипы, сочетающие одно-, двух- и разновозрастные отложения: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елховско-радаевско-бобриковские;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елховско-бобриковские;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елховско-радаевские;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радаевско-бобриковские.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Таким образом, переслаивание всех разностей пород, различная стратиграфическая полнота разреза и, как следствие, изменение толщины продуктивных горизонтов и пластов-коллекторов, а также фациальная изменчивость, невыдержанность пластов как по площади, так и по разрезу, обусловили трудности в расчленении и индексации и выделении объектов разработки. В пределах рассматриваемой терригенной толщи при полном стратиграфическом разрезе выделяются (сверху вниз) пласты-коллекторы, индексируемые как С1бр-4, С1бр-З, С1бр-2 и С1бр-1.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Терригенный комплекс бобриковско-радаевского возраста характеризуется сложным строением: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высокой фациальной изменчивостью;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большой разновидностью форм залегания;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наличием от одного до нескольких пористо-проницаемых прослоев, пластов;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значительным изменением толщин, особенно во врезовых зонах;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наличием большого количества слияний продуктивных пропластков и пластов;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преимущественно хорошей гидродинамической связью пропластков и пластов;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отсутствием надежных покрышек.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 этой связи ГС располагаются в основном в зонах эрозионных врезов и в зонах развития I типа разреза, причем критерий наличия достаточно значительных продуктивных толщин необходимо особенно соблюдать в водоплавающих и пластово-сводовых залежах с водонефтяными зонами. Это продиктовано необходимостью увеличения безводного режима эксплуатации ГС путем соблюдения критерия расстояния от нижней точки условно-горизонтального ствола (УГС) до ВНК — 2-3 м. ГС не проектируется там, где объект имеет высокую расчлененность и небольшие НТ пород объекта эксплуатации при наличии плотных перемычек значительной толщины (2,0-3,0 м).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Нефтенасыщенные коллекторы карбонатной толщи башкирско-серпуховского возраста, залегающие в среднем на 300 м выше по разрезу, развиты в юго-западной части Ромашкинского месторождения и на месторождениях, расположенных на северном, северо-восточном, западном склонах Южно-Татарского свода и Мелекесской впадины. Продуктивные отложения башкирско-серпуховского возраста среднего карбона в пределах Республики Татарстан сложены известняками и доломитами. К настоящему времени на данные отложения пробурено 68 ГС, что составляет 26% от общего фонда ГС.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Изменения ЕФХ свойств в известняках башкирско-серпуховского возраста зависят от интенсивности вторичных процессов: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перекристаллизации, выщелачивания, сульфатизации и развития трещиноватости;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— лучшими ЕФХ обладают зернистые, комковато-сгустковые и органогенно-детритовые структурные разности известняков;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— улучшению ЕФХ способствуют процессы перекристаллизации, выщелачивания, трещиноватости, иногда стиллолитизации;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— кальцитизация, сульфатизация и содержание глинистого материала ведут к ухудшению ЕФХ и полной изоляции пор;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эффективной емкостью служат поры каверн и системы трещин;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— наиболее эффективные ЕФХ приурочены к разуплотненным макро- и микротрещиноватым участкам;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— известняки неоднородны по разрезу и площади; улучшение коллекторских свойств происходит сверху вниз.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 табл. 1 представлена краткая литолого-петрографическая характеристика нефтевмещающих пород продуктивных пластов, влияющих на добывные возможности ГС.</w:t>
      </w:r>
    </w:p>
    <w:tbl>
      <w:tblPr>
        <w:tblW w:w="3750" w:type="pct"/>
        <w:jc w:val="center"/>
        <w:tblBorders>
          <w:top w:val="outset" w:sz="6" w:space="0" w:color="808080"/>
          <w:left w:val="outset" w:sz="6" w:space="0" w:color="808080"/>
          <w:bottom w:val="outset" w:sz="6" w:space="0" w:color="808080"/>
          <w:right w:val="outset" w:sz="6" w:space="0" w:color="808080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2214"/>
        <w:gridCol w:w="1385"/>
        <w:gridCol w:w="1519"/>
        <w:gridCol w:w="1290"/>
        <w:gridCol w:w="1399"/>
      </w:tblGrid>
      <w:tr w:rsidR="007D6CAD" w:rsidRPr="00650933" w:rsidTr="00880660">
        <w:trPr>
          <w:jc w:val="center"/>
        </w:trPr>
        <w:tc>
          <w:tcPr>
            <w:tcW w:w="0" w:type="auto"/>
            <w:gridSpan w:val="5"/>
            <w:tcBorders>
              <w:top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Табл. 1. Геолого-физические характеристики продуктивных пластов Республики Татарстан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Параметры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Башкирский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Бобриковский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Турнейский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Данково-Лебедянский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Количество месторождений/скв, шт.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5/68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7/27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18/163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1/4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Cредняя глубина залегания,м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886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1288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1164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1310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Тип залежи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массивный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пласт.-свод.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массивный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пласт.-свод.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Тип коллектора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пор.-трещин, кавернозный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литол. огр., поровый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порово-трещинный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порово-трещинный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Cредняя общая толщина, м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20,00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14,00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31,15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7,10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 xml:space="preserve">Средняя нефтенасыщенная толщина, м 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6,10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7,04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9,77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5,10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Пористость, %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14,42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24,30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12,67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7,00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Средняя нефтенасыщенность, доли ед.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0,79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0,86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0,69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0,65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Проницаемость, мкм2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0,13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0,91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0,12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0,03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Коэффициент песчанистости, доли ед.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0,43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0,58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0,52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0,52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Коэффициент расчлененности, доли ед.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5,00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2,33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5,72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2,05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Начальная пластовая температура, °С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22,25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25,29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25,03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25,00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Начальное пластовое давление, МПа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8,72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13,16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11,26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13,10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Вязкость нефти в пластовых условиях, МПа.с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89,72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91,41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35,62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70,80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Плотность нефти в пластовых условиях, т/м3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0,90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0,89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0,88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0,91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Объемный коэффициент нефти, доли ед.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1,03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1,04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1,05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1,04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Давление насыщения нефти газом, МПа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2,98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3,82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3,94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1,60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Газосодержание нефти, м3/т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2,34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11,37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17,66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12,40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Вязкость воды в пластовых условиях, МПа.с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1,50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1,67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1,72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1,70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Плотность воды в пластовых условиях, т/м3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1,14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1,16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1,45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1,17</w:t>
            </w:r>
          </w:p>
        </w:tc>
      </w:tr>
    </w:tbl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Таким образом, сложнопостроенность месторождений Республики Татарстан определяют следующие факторы: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многопластовость;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многозалежность;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высокая неоднородность по площади и разрезу;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различные формы залегания продуктивных объектов;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разнотипность строения залежей нефти;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присутствие нескольких структурно-генетических разностей известняков в карбонатных породах;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разнотипность разрезов терригенной толщи бобриковско-радаевско-елховского времени нижнего карбона;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выделение в терригенных породах нижнего карбона нескольких литотипов, различающихся по гранулометрическому составу, которые определяют выбор и возможность размещения ГС.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Весь пробуренный и проектный фонд скважин с УГУС можно распределить в пределах старых разрабатываемых площадей и залежей, новых залежей с фондом, пробуренным на нижележащий объект эксплуатации и новых залежей, вскрытых одной или несколькими разведочными скважинами.</w:t>
      </w:r>
    </w:p>
    <w:p w:rsidR="007D6CAD" w:rsidRPr="00CE0266" w:rsidRDefault="007D6CAD" w:rsidP="007D6CAD">
      <w:pPr>
        <w:spacing w:before="120"/>
        <w:jc w:val="center"/>
        <w:rPr>
          <w:b/>
          <w:bCs/>
          <w:sz w:val="28"/>
          <w:szCs w:val="28"/>
        </w:rPr>
      </w:pPr>
      <w:r w:rsidRPr="00CE0266">
        <w:rPr>
          <w:b/>
          <w:bCs/>
          <w:sz w:val="28"/>
          <w:szCs w:val="28"/>
        </w:rPr>
        <w:t xml:space="preserve">Анализ эффективности ГС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На рис. 3 представлено распределение средней длины ГС по продуктивным горизонтам. Средняя длина по всем 262 ГС составляет 257 м.</w:t>
      </w:r>
    </w:p>
    <w:p w:rsidR="007D6CAD" w:rsidRPr="00650933" w:rsidRDefault="00F66E65" w:rsidP="007D6CAD">
      <w:pPr>
        <w:spacing w:before="120"/>
        <w:ind w:firstLine="567"/>
        <w:jc w:val="both"/>
      </w:pPr>
      <w:r>
        <w:pict>
          <v:shape id="_x0000_i1027" type="#_x0000_t75" style="width:164.25pt;height:167.25pt">
            <v:imagedata r:id="rId7" o:title=""/>
          </v:shape>
        </w:pic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На рис. 4 представлено распределение среднего начального дебита по 183 ГС.</w:t>
      </w:r>
    </w:p>
    <w:p w:rsidR="007D6CAD" w:rsidRPr="00650933" w:rsidRDefault="00F66E65" w:rsidP="007D6CAD">
      <w:pPr>
        <w:spacing w:before="120"/>
        <w:ind w:firstLine="567"/>
        <w:jc w:val="both"/>
      </w:pPr>
      <w:r>
        <w:pict>
          <v:shape id="_x0000_i1028" type="#_x0000_t75" style="width:165pt;height:237.75pt">
            <v:imagedata r:id="rId8" o:title=""/>
          </v:shape>
        </w:pic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Общий средний текущий дебит нефти ГС превышает дебит нефти ВС в 1,4 раза. В т.ч. турнейские — в 1,3 раза, бобриковские — в 2,3 раза, данково-лебедянские — в 1,6 раза), в отличие от начального, когда превышение составляет 2 и более раз.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Наибольшей добычей нефти отличаются ГС бобриковских отложений. Накопленная добыча нефти, например, по ГС №5826 Пионерского месторождения НГДУ «Нурлатнефть» на 1.01.2002 г. составляет 132,629 тыс. т, по ГС № 4151 Бурейкинского месторождения этого же НГДУ 46,047 тыс. т.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Как видно из рис. 5 ГС №1947 и ГС № 1918 Сиреневского месторождения, по которым накопленная добыча нефти 47,7 и 51,4 тыс. т, средний дебит нефти за весь срок эксплуатации 5,7 и 6,1 т/сут. и обводненность продукции 21,2 и 14,5% соответственно [3].</w:t>
      </w:r>
    </w:p>
    <w:p w:rsidR="007D6CAD" w:rsidRPr="00650933" w:rsidRDefault="00F66E65" w:rsidP="007D6CAD">
      <w:pPr>
        <w:spacing w:before="120"/>
        <w:ind w:firstLine="567"/>
        <w:jc w:val="both"/>
      </w:pPr>
      <w:r>
        <w:pict>
          <v:shape id="_x0000_i1029" type="#_x0000_t75" style="width:354.75pt;height:262.5pt">
            <v:imagedata r:id="rId9" o:title=""/>
          </v:shape>
        </w:pic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С накопленной добычей нефти более 20 тыс. т есть ГС и на Онбийском месторождении НГДУ «Татекс» (№№ 11461, 11463), на Соколкинском месторождении СМП-нефтегаз (№№ 2870, 3024), на Ашальчинском месторождении НГДУ «Татнефтебитум» (№ 4752), в НГДУ «Чишманефть» (№ 10364).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По распределению текущего дебита нефти видно, что более половины фонда ГС (60%) работают с дебитом нефти до 5 т/сут., 40% ГС работают с дебитом нефти больше 5 т/сут. (рис. 6). </w:t>
      </w:r>
    </w:p>
    <w:p w:rsidR="007D6CAD" w:rsidRPr="00650933" w:rsidRDefault="00F66E65" w:rsidP="007D6CAD">
      <w:pPr>
        <w:spacing w:before="120"/>
        <w:ind w:firstLine="567"/>
        <w:jc w:val="both"/>
      </w:pPr>
      <w:r>
        <w:pict>
          <v:shape id="_x0000_i1030" type="#_x0000_t75" style="width:165pt;height:186.75pt">
            <v:imagedata r:id="rId10" o:title=""/>
          </v:shape>
        </w:pic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Из рис. 7 видно, что с обводненностью продукции до 20% работает почти 13% ГС, а с обводненностью продукции от 20% до 50% — 15% ГС и более 50% — 72% ГС.</w:t>
      </w:r>
    </w:p>
    <w:p w:rsidR="007D6CAD" w:rsidRPr="00650933" w:rsidRDefault="00F66E65" w:rsidP="007D6CAD">
      <w:pPr>
        <w:spacing w:before="120"/>
        <w:ind w:firstLine="567"/>
        <w:jc w:val="both"/>
      </w:pPr>
      <w:r>
        <w:pict>
          <v:shape id="_x0000_i1031" type="#_x0000_t75" style="width:164.25pt;height:183.75pt">
            <v:imagedata r:id="rId11" o:title=""/>
          </v:shape>
        </w:pic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Анализ среднего дебита нефти и обводненности показывает, что при общей средней длине УГУС 257 м дебит составляет 7 т/сут., а по карбонатным залежам — 4 т/сут. и по терригенным залежам (бобриковские ГС) — до 28 т/сут. Обводненность держится на уровне 30-40%.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Как известно, объективным показателем, отражающим качество ствола, является доля нефтенасыщенных коллекторов в общей длине ствола, а не сама общая длина ствола. В связи с этим по длине ствола ГС выявить зависимость дебита нефти от нее представляется проблематичным. Бобриковские ГС в силу геологических особенностей (НТ, тип коллектора, свойства нефти) имеют самый короткий ствол горизонтального участка, составляя в среднем 159 м, но дебиты нефти, как начальный так и текущий, самые высокие (23,2 и 27,1 т/сут.).</w:t>
      </w:r>
    </w:p>
    <w:p w:rsidR="007D6CAD" w:rsidRPr="00CE0266" w:rsidRDefault="007D6CAD" w:rsidP="007D6CAD">
      <w:pPr>
        <w:spacing w:before="120"/>
        <w:jc w:val="center"/>
        <w:rPr>
          <w:b/>
          <w:bCs/>
          <w:sz w:val="28"/>
          <w:szCs w:val="28"/>
        </w:rPr>
      </w:pPr>
      <w:r w:rsidRPr="00CE0266">
        <w:rPr>
          <w:b/>
          <w:bCs/>
          <w:sz w:val="28"/>
          <w:szCs w:val="28"/>
        </w:rPr>
        <w:t xml:space="preserve">Основные критерии обоснования бурения ГС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 ОАО «Татнефть» в результате обобщения более 25-тилетнего опыта бурения и эксплуатации около 300 ГС и 10 МЗС обоснован комплекс основных критериев эффективности их бурения на неоднородных многопластовых месторождениях.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Одним из основных является то, что минимальные значения эффективной НТ продуктивных пластов не должны быть ниже технических возможностей бурения с использованием существующего оборудования, при этом величина извлекаемых запасов на скважину — не ниже рентабельных.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Выбор направления бурения горизонтальных стволов производится с учетом геолого-промысловых характеристик и истории функционирования соседних скважин, в частности [2]: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размещение горизонтального ствола в приконтурных зонах рекомендуется производить параллельно контуру нефтеносности или границе раздела «нефть-вытесняющий агент», преимущественно параллельно большой оси структуры;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при наличии ВНЗ или газонефтяных контактов для исключения преждевременного прорыва воды или газа горизонтальные стволы следует размещать как можно дальше от них (при одновременном учете возможности «вылета» условно-горизонтального ствола за пределы продуктивного пласта);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при анизотропии поля проницаемости горизонтальный участок ствола располагать ортогонально плоскости максимальной проводимости пласта, т.е. по направлению меньшей проницаемости;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 пластах с трещинами большой размерности, связанными с водоносной частью пласта, необходимо минимизировать вероятность пересечения каналов притока пластовой воды;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ГС рекомендуется располагать по самым длинным путям движения потоков жидкости с учетом развития системы заводнения в процессе разработки;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длину горизонтального ствола в многопластовых залежах устанавливают в пластах прямо пропорционально извлекаемым запасам;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значительные длины ГС (более 100-150 м) рекомендуются в условиях выраженной трещиноватости или линзовидном строении коллектора.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 практике бурения ГС в Татарстане соблюдается требование, вытекающее из геологического строения объектов разработки. В частности — для массивных залежей нефти в трещиноватых карбонатных коллекторах турнейского и башкирского ярусов горизонтальный ствол должен быть расположен не ближе 8-10 м до ВНК, а максимальная часть его длины должна пройти в высокопроницаемом интервале разреза. В отложениях башкирского яруса данный интервал приурочен, как правило, к нижней его пачке, а в турнейском ярусе — к породам упино-малевского и отчасти кизеловского горизонтов (прикровельные участки разрезов, как правило, в пределах 3-5 метров представлены плотными известняками).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Другое технологическое требование — допустимый коридор при бурении горизонтального ствола составляет 3 м для бесконтактных зон и 6 м — для зон с ВНК. Поэтому эффективная НТ вскрываемого ГС пласта должна быть не менее этой величины.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Важно также соблюдение экономического критерия — ГС имеет смысл бурить только тогда, когда это приносит реальный экономический эффект. Если на данном объекте традиционные ВС дают хорошие результаты, то нет необходимости в бурении ГС. Если же применение ГС увеличивает дебиты и суммарный отбор в два и более раз — тогда бурение ГС, как правило, рентабельно.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С учетом изложенных критериев и геологических особенностей в Татарстане выделены следующие основные стратиграфические объекты для бурения ГС: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 карбонатах — турнейский ярус, башкирский ярус, данково-лебедянский горизонт;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 песчаниках — горизонт Д1, бобриковский горизонт (в основном во врезах).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Необходимым условием успешного применения ГС является организация эффективности системы заводнения для конкретных геологических условий с учетом размещения горизонтальных стволов в пространстве.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Наибольшее разнообразие размещения ГС достигается на месторождениях с искусственной системой заводнения, начиная с площадных (классические обращенные пяти-, семи-, девятиточечные системы), модифицированных под размещение ГС, и рядных (одно-, трех- и пятирядных) с полной или частичной заменой добывающих ВС их горизонтальными вариантами. Для условий залежей с низкой проницаемостью коллектора или с обширными ВНЗ наиболее приемлемо применение более жестких площадных или однорядных систем заводнения с ГС [2]. </w:t>
      </w:r>
    </w:p>
    <w:p w:rsidR="007D6CAD" w:rsidRPr="00CE0266" w:rsidRDefault="007D6CAD" w:rsidP="007D6CAD">
      <w:pPr>
        <w:spacing w:before="120"/>
        <w:jc w:val="center"/>
        <w:rPr>
          <w:b/>
          <w:bCs/>
          <w:sz w:val="28"/>
          <w:szCs w:val="28"/>
        </w:rPr>
      </w:pPr>
      <w:r w:rsidRPr="00CE0266">
        <w:rPr>
          <w:b/>
          <w:bCs/>
          <w:sz w:val="28"/>
          <w:szCs w:val="28"/>
        </w:rPr>
        <w:t xml:space="preserve">Перспективы и проблемы проектирования ГС И МЗС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Перспективными и проблемными в области проектирования и строительства ГС и МЗС остаются направления: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геологическое обоснование ГС и МЗС следует производить с учетом зон возможных осложнений как при строительстве, так и при эксплуатации, необходимости оперативного управления профилем всей скважины, особенно в продуктивном пласте. Это предусматривает широкое использование трехмерной сейсморазведки, других современных геофизических средств, компьютерную обработку геофизических и других телеметрических данных;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проектирование МЗС с применением современных программных продуктов, в частности «Лэндмарк Графикс», с использованием трехмерных геологических моделей и других наработок;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строительство ГС и МЗС на пашийские отложения, сдерживаемые проблемой прохождения обваливающихся кыновских глин под зенитным углом более 65°. Здесь имеется несколько реальных путей решения этой проблемы: использование специальных буровых растворов, бурение ГС, БГС с малым радиусом искривления, которое обеспечивает быстрое и точное попадание даже в пласты малой толщины, применение профильных летучек, бурение при помощи электробуров с целью снижения скорости течения буровых растворов;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широкое использование гибких колонн НКТ на всем цикле строительства, исследования и эксплуатации ГС и БГС, применение долот с поликристаллическим синтетическим алмазным вооружением. Следует отметить, что проходка на трехшарошечное отечественное долото составляет 35-45 м, на долото СП «Удол» — 850-900 м;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разработка и подбор эффективных рецептур буровых растворов с различными свойствами, т.е расширить перечень рекомендуемых растоворов с учетом мировых достижений;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использование режима депрессии при вскрытии продуктивных пластов с применением гибких труб по технологии, в частности, компании «Фракмастер»;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совершенствование оборудования условно-горизонтального участка ствола скважины с целью обеспечения отбора минимального объема попутной воды с применением, к примеру, технических средств типа КРР-146 (разработка «Тяжпрессмаш»), управляемых пакеров современной конструкции, позволяющих исключить из эксплуатации обводнившиеся интервалы ствола;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переход на бурение на обсадных трубах, что позволит улучшить технико-экономические показатели строительства скважин не менее чем на 30%. Технология бурения скважин на обсадных трубах в последнее время получает широкое распространение. Она решает наиболее трудные проблемы строительства скважин в сложных геологических условиях (обвалообразования, ухода бурового раствора и др.);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— использование ГС и МЗС в качестве нагнетательных в определенных геологических условиях, в частности при разработке продуктивных пластов, характеризующихся низкой проницаемостью.;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— ближайшей задачей при применении горизонтальной технологии являются освоение технологии бурения и всемерное снижение стоимости строительства, совершенствование первичного и вторичного вскрытия ГС, особенно в случае их применения на терригенные отложения девона и карбонатные отложения верхних горизонтов месторождений Татарстана.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До настоящего времени потенциал горизонтальной технологии разработки в республике используется далеко в не достаточной степени. Очевидно, необходимо провести дальнейшее совершенствование организации процесса проектирования, строительства, эксплуатации ГС, непрерывного мониторинга функционирования системы разработки с применением горизонтальной технологии.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В настоящее время в ОАО «Татнефть» предложен и опробован ряд разработок, основанных на существующей технике, разработана отечественная технология строительства, в частности технология бурения МЗС.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С целью изучения проблемы устойчивости точки стыка со стволом, аварий боковых стволов, неудачного цементирования и заканчивания, выноса песка и водопроявления необходимо провести тщательный анализ данных эксплуатации и процесса бурения МЗС. Разветвленные стволы бурятся долотами различных диаметров (120,6 мм и 144 мм) и различной протяженности, что обеспечивает «попадание» в них при геофизических и ремонтных работах. При строительстве МЗС неустойчивые породы перекрываются 6" эксплуатационной колонной.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Распределение 10 эксплуатируемых на 11.2003 г. МЗС по 4 НГДУ ОАО «Татнефть» представлено в табл. 2.</w:t>
      </w:r>
    </w:p>
    <w:tbl>
      <w:tblPr>
        <w:tblW w:w="3750" w:type="pct"/>
        <w:jc w:val="center"/>
        <w:tblBorders>
          <w:top w:val="outset" w:sz="6" w:space="0" w:color="808080"/>
          <w:left w:val="outset" w:sz="6" w:space="0" w:color="808080"/>
          <w:bottom w:val="outset" w:sz="6" w:space="0" w:color="808080"/>
          <w:right w:val="outset" w:sz="6" w:space="0" w:color="808080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317"/>
        <w:gridCol w:w="1834"/>
        <w:gridCol w:w="497"/>
        <w:gridCol w:w="1519"/>
        <w:gridCol w:w="1113"/>
        <w:gridCol w:w="744"/>
        <w:gridCol w:w="1651"/>
      </w:tblGrid>
      <w:tr w:rsidR="007D6CAD" w:rsidRPr="00650933" w:rsidTr="00880660">
        <w:trPr>
          <w:jc w:val="center"/>
        </w:trPr>
        <w:tc>
          <w:tcPr>
            <w:tcW w:w="0" w:type="auto"/>
            <w:gridSpan w:val="7"/>
            <w:tcBorders>
              <w:top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Табл. 2. Распределение технологических показателей МЗС по НГДУ и по продуктивным горизонтам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№ пп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НГДУ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кол-во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горизонт, ярус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дебит жидкости, т/сут.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дебит нефти, т/сут.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обводненность, %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Альметьевнефть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турнейский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10,8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8,7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16,2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Елховнефть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турнейский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8,1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8,1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0,0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3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Иркеннефть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1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Бобриковский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6,7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2,5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64,5</w:t>
            </w:r>
          </w:p>
        </w:tc>
      </w:tr>
      <w:tr w:rsidR="007D6CAD" w:rsidRPr="00650933" w:rsidTr="00880660">
        <w:trPr>
          <w:jc w:val="center"/>
        </w:trPr>
        <w:tc>
          <w:tcPr>
            <w:tcW w:w="0" w:type="auto"/>
            <w:tcBorders>
              <w:top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4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Азнакаевскнефть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6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Бобриковский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29,8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24,8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</w:tcBorders>
            <w:vAlign w:val="center"/>
          </w:tcPr>
          <w:p w:rsidR="007D6CAD" w:rsidRPr="00650933" w:rsidRDefault="007D6CAD" w:rsidP="00880660">
            <w:pPr>
              <w:jc w:val="both"/>
            </w:pPr>
            <w:r w:rsidRPr="00650933">
              <w:t>20,0</w:t>
            </w:r>
          </w:p>
        </w:tc>
      </w:tr>
    </w:tbl>
    <w:p w:rsidR="007D6CAD" w:rsidRPr="00650933" w:rsidRDefault="007D6CAD" w:rsidP="007D6CAD">
      <w:pPr>
        <w:spacing w:before="120"/>
        <w:ind w:firstLine="567"/>
        <w:jc w:val="both"/>
      </w:pPr>
      <w:r w:rsidRPr="00650933">
        <w:t>Из десяти МЗС три пробурены в конце 90-х годов на отложения турнейского яруса, где УГУС проведены по одному проектному азимуту и разведены по вертикали от 4 до 12 м. Оба ствола у скважин турнейского яруса пробурены диаметром 139,7 мм и имеют открытый забой.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Из семи скважин, пробуренных на продуктивные отложения бобриковского горизонта, УГУС имеют разницу по вертикали от 1,5 до 2 м и разведены по азимуту. Длина УГУС составляет от 80 до 470 м, причем забои разведены от 50 до 150 м. Первый ствол у скважин бобриковского горизонта пробурен диаметром 120,6 мм, а второй ствол — 144 мм, причем оба ствола имеют открытый забой.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На рис. 8 приведен фактический профиль МЗС 8802 «РГ», пробуренный на кизеловский (1 ствол) и упино-малевский (2 ствол) отложения Ново-Елховского нефтяного месторождения.</w:t>
      </w:r>
    </w:p>
    <w:p w:rsidR="007D6CAD" w:rsidRPr="00650933" w:rsidRDefault="00F66E65" w:rsidP="007D6CAD">
      <w:pPr>
        <w:spacing w:before="120"/>
        <w:ind w:firstLine="567"/>
        <w:jc w:val="both"/>
      </w:pPr>
      <w:r>
        <w:pict>
          <v:shape id="_x0000_i1032" type="#_x0000_t75" style="width:369pt;height:255pt">
            <v:imagedata r:id="rId12" o:title=""/>
          </v:shape>
        </w:pic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На 11.2003 г. средние значения дебитов жидкости, нефти и обводненности по всем 10 МЗС составили 20,5 т/сут., 17,6 т/сут., 21,7% соответственно.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По МЗС турнейского яруса дебит жидкости равняется 9,9 т/сут., дебит нефти — 8,5 т/сут., а обводненность 10,8%.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По МЗС бобриковского горизонта дебит жидкости составил 26,8 т/сут., дебит нефти — 21,6 т/сут., а обводненность — 26,3%.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В ОАО «Татнефть» при переходе на двухэтапный цикл строительства продолжительность бурения ГС длиной 300 м сократилась в 4 раза. Средняя коммерческая скорость выросла в 2 раза, а по отдельным скважинам в 3 раза, снизилась относительная стоимость строительства ГС, которая стала превышать стоимость наклонно-направленных скважин в 1,5 раза, при увеличении дебита в 2,8 раза.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 xml:space="preserve">Для оперативного и качественного контроля эксплуатации нефтегазовых месторождений с применением горизонтальных технологий в последние годы все шире используется компьютерное моделирование. 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С целью оптимизации конечной нефтеотдачи в неоднородных коллекторах с использованием высокотехнологичных скважин проведено геолого-технологическое моделирование разработки блока одного из месторождений Татарстана с использованием многоствольной скважины с четырьмя ответвлениями из основного ствола. При эксплуатации скважины с использованием системы ППД по истечению определенного промежутка времени происходит прорыв воды и при достижении максимального объема предусматривается закрытие отдельных сегментов каждого ствола многоствольной скважины. Теоретически наличие воды можно определить, используя результаты замеров температуры и давления интервальными регулирующими задвижками. Практически, возможно, достаточно оценить эффект закрытия каждой интервальной регулирующей задвижки при добыче воды.</w:t>
      </w:r>
    </w:p>
    <w:p w:rsidR="007D6CAD" w:rsidRPr="00CE0266" w:rsidRDefault="007D6CAD" w:rsidP="007D6CAD">
      <w:pPr>
        <w:spacing w:before="120"/>
        <w:jc w:val="center"/>
        <w:rPr>
          <w:b/>
          <w:bCs/>
          <w:sz w:val="28"/>
          <w:szCs w:val="28"/>
        </w:rPr>
      </w:pPr>
      <w:r w:rsidRPr="00CE0266">
        <w:rPr>
          <w:b/>
          <w:bCs/>
          <w:sz w:val="28"/>
          <w:szCs w:val="28"/>
        </w:rPr>
        <w:t>Список литературы</w:t>
      </w:r>
    </w:p>
    <w:p w:rsidR="007D6CAD" w:rsidRDefault="007D6CAD" w:rsidP="007D6CAD">
      <w:pPr>
        <w:spacing w:before="120"/>
        <w:ind w:firstLine="567"/>
        <w:jc w:val="both"/>
      </w:pPr>
      <w:r w:rsidRPr="00650933">
        <w:t xml:space="preserve">1. Муслимов Р.Х., Юсупов И.Г., Фазлыев Р.Т. «Некоторые результаты применения горизонтальных технологий в Волго-Камском регионе». В книге: Горизонтальные скважины: бурение, эксплуатация, исследование. Казань, Мастер Лайн, 2000. </w:t>
      </w:r>
    </w:p>
    <w:p w:rsidR="007D6CAD" w:rsidRDefault="007D6CAD" w:rsidP="007D6CAD">
      <w:pPr>
        <w:spacing w:before="120"/>
        <w:ind w:firstLine="567"/>
        <w:jc w:val="both"/>
      </w:pPr>
      <w:r w:rsidRPr="00650933">
        <w:t>2. Системы разработки нефтяных месторождений с горизонтальными скважинами /Р.Х.Муслимов, Э.И.Сулейманов, Р.Г.Рамазанов, И.Н.Хакимзянов и др. //Мат. совещания (г. Альметьевск, сентябрь 1995 г.) «Разработка нефтяных и нефтегазовых месторождений. Состояние, проблемы и пути их решения» — М.: ВНИИОЭНГ, -1996. — С.254-278.</w:t>
      </w:r>
    </w:p>
    <w:p w:rsidR="007D6CAD" w:rsidRPr="00650933" w:rsidRDefault="007D6CAD" w:rsidP="007D6CAD">
      <w:pPr>
        <w:spacing w:before="120"/>
        <w:ind w:firstLine="567"/>
        <w:jc w:val="both"/>
      </w:pPr>
      <w:r w:rsidRPr="00650933">
        <w:t>3. Хакимзянов И.Н. Совершенствование разработки нефтяных месторождений с применением горизонтальных скважин на основе математического моделирования. Диссертация на соискание ученой степени канд. тех. наук. Бугульма, 2002. 161 с.</w:t>
      </w:r>
    </w:p>
    <w:p w:rsidR="005F369E" w:rsidRDefault="005F369E"/>
    <w:sectPr w:rsidR="005F369E" w:rsidSect="005064A4">
      <w:pgSz w:w="11906" w:h="16838"/>
      <w:pgMar w:top="1134" w:right="1134" w:bottom="1134" w:left="1134" w:header="720" w:footer="720" w:gutter="0"/>
      <w:cols w:space="708"/>
      <w:titlePg/>
      <w:docGrid w:linePitch="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09"/>
  <w:drawingGridVerticalSpacing w:val="148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6CAD"/>
    <w:rsid w:val="001776F2"/>
    <w:rsid w:val="003F6638"/>
    <w:rsid w:val="005064A4"/>
    <w:rsid w:val="005F369E"/>
    <w:rsid w:val="00650933"/>
    <w:rsid w:val="00721B3E"/>
    <w:rsid w:val="007D6CAD"/>
    <w:rsid w:val="00820540"/>
    <w:rsid w:val="00880660"/>
    <w:rsid w:val="00AB127D"/>
    <w:rsid w:val="00CE0266"/>
    <w:rsid w:val="00DA694C"/>
    <w:rsid w:val="00F236A2"/>
    <w:rsid w:val="00F6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CA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3240</Words>
  <Characters>23178</Characters>
  <Application>Microsoft Office Word</Application>
  <DocSecurity>0</DocSecurity>
  <Lines>564</Lines>
  <Paragraphs>260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Опыт строительства и эксплуатации скважин сложной архитектуры в ОАО «Татнефть»</vt:lpstr>
    </vt:vector>
  </TitlesOfParts>
  <Company/>
  <LinksUpToDate>false</LinksUpToDate>
  <CharactersWithSpaces>26264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Опыт строительства и эксплуатации скважин сложной архитектуры в ОАО «Татнефть»</dc:title>
  <dc:subject/>
  <dc:creator/>
  <cp:keywords/>
  <dc:description/>
  <cp:lastModifiedBy>Alex</cp:lastModifiedBy>
  <cp:revision>2</cp:revision>
  <dcterms:created xsi:type="dcterms:W3CDTF">2016-12-15T08:45:00Z</dcterms:created>
  <dcterms:modified xsi:type="dcterms:W3CDTF">2016-12-15T08:45:00Z</dcterms:modified>
</cp:coreProperties>
</file>