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231A" w:rsidRDefault="005C231A">
      <w:pPr>
        <w:spacing w:line="480" w:lineRule="auto"/>
        <w:rPr>
          <w:b/>
          <w:sz w:val="32"/>
        </w:rPr>
      </w:pPr>
      <w:bookmarkStart w:id="0" w:name="_GoBack"/>
      <w:bookmarkEnd w:id="0"/>
      <w:r>
        <w:rPr>
          <w:b/>
          <w:sz w:val="32"/>
        </w:rPr>
        <w:t>План:</w:t>
      </w:r>
    </w:p>
    <w:p w:rsidR="005C231A" w:rsidRDefault="005C231A">
      <w:pPr>
        <w:pStyle w:val="a4"/>
        <w:spacing w:line="480" w:lineRule="auto"/>
        <w:rPr>
          <w:sz w:val="24"/>
        </w:rPr>
      </w:pPr>
      <w:r>
        <w:rPr>
          <w:sz w:val="24"/>
        </w:rPr>
        <w:t>Ведение.</w:t>
      </w:r>
    </w:p>
    <w:p w:rsidR="005C231A" w:rsidRDefault="005C231A">
      <w:pPr>
        <w:pStyle w:val="a4"/>
        <w:numPr>
          <w:ilvl w:val="0"/>
          <w:numId w:val="6"/>
        </w:numPr>
        <w:spacing w:line="480" w:lineRule="auto"/>
        <w:rPr>
          <w:sz w:val="24"/>
        </w:rPr>
      </w:pPr>
      <w:r>
        <w:rPr>
          <w:sz w:val="24"/>
        </w:rPr>
        <w:t>Общие положения.</w:t>
      </w:r>
    </w:p>
    <w:p w:rsidR="005C231A" w:rsidRDefault="005C231A">
      <w:pPr>
        <w:pStyle w:val="a4"/>
        <w:numPr>
          <w:ilvl w:val="1"/>
          <w:numId w:val="6"/>
        </w:numPr>
        <w:tabs>
          <w:tab w:val="left" w:pos="426"/>
        </w:tabs>
        <w:spacing w:line="480" w:lineRule="auto"/>
        <w:rPr>
          <w:sz w:val="24"/>
        </w:rPr>
      </w:pPr>
      <w:r>
        <w:rPr>
          <w:sz w:val="24"/>
        </w:rPr>
        <w:t>Определение ОПЕК</w:t>
      </w:r>
    </w:p>
    <w:p w:rsidR="005C231A" w:rsidRDefault="005C231A">
      <w:pPr>
        <w:pStyle w:val="a4"/>
        <w:numPr>
          <w:ilvl w:val="1"/>
          <w:numId w:val="6"/>
        </w:numPr>
        <w:tabs>
          <w:tab w:val="left" w:pos="426"/>
        </w:tabs>
        <w:spacing w:line="480" w:lineRule="auto"/>
        <w:rPr>
          <w:sz w:val="24"/>
        </w:rPr>
      </w:pPr>
      <w:r>
        <w:rPr>
          <w:sz w:val="24"/>
        </w:rPr>
        <w:t>История создания ОПЕК</w:t>
      </w:r>
    </w:p>
    <w:p w:rsidR="005C231A" w:rsidRDefault="005C231A">
      <w:pPr>
        <w:pStyle w:val="a4"/>
        <w:numPr>
          <w:ilvl w:val="1"/>
          <w:numId w:val="6"/>
        </w:numPr>
        <w:tabs>
          <w:tab w:val="left" w:pos="426"/>
        </w:tabs>
        <w:spacing w:line="480" w:lineRule="auto"/>
        <w:rPr>
          <w:sz w:val="24"/>
        </w:rPr>
      </w:pPr>
      <w:r>
        <w:rPr>
          <w:sz w:val="24"/>
        </w:rPr>
        <w:t>Цели создания</w:t>
      </w:r>
    </w:p>
    <w:p w:rsidR="005C231A" w:rsidRDefault="005C231A">
      <w:pPr>
        <w:pStyle w:val="a4"/>
        <w:numPr>
          <w:ilvl w:val="1"/>
          <w:numId w:val="6"/>
        </w:numPr>
        <w:tabs>
          <w:tab w:val="left" w:pos="426"/>
        </w:tabs>
        <w:spacing w:line="480" w:lineRule="auto"/>
        <w:rPr>
          <w:sz w:val="24"/>
        </w:rPr>
      </w:pPr>
      <w:r>
        <w:rPr>
          <w:sz w:val="24"/>
        </w:rPr>
        <w:t>Страны-члены ОПЕК на сегодняшний день</w:t>
      </w:r>
    </w:p>
    <w:p w:rsidR="005C231A" w:rsidRDefault="005C231A">
      <w:pPr>
        <w:pStyle w:val="a4"/>
        <w:numPr>
          <w:ilvl w:val="1"/>
          <w:numId w:val="6"/>
        </w:numPr>
        <w:tabs>
          <w:tab w:val="left" w:pos="426"/>
        </w:tabs>
        <w:spacing w:line="480" w:lineRule="auto"/>
        <w:rPr>
          <w:sz w:val="24"/>
        </w:rPr>
      </w:pPr>
      <w:r>
        <w:rPr>
          <w:sz w:val="24"/>
        </w:rPr>
        <w:t>Общие проблемы развития стран ОПЕК</w:t>
      </w:r>
    </w:p>
    <w:p w:rsidR="005C231A" w:rsidRDefault="005C231A">
      <w:pPr>
        <w:pStyle w:val="a4"/>
        <w:numPr>
          <w:ilvl w:val="0"/>
          <w:numId w:val="6"/>
        </w:numPr>
        <w:tabs>
          <w:tab w:val="left" w:pos="426"/>
        </w:tabs>
        <w:spacing w:line="480" w:lineRule="auto"/>
        <w:rPr>
          <w:sz w:val="24"/>
        </w:rPr>
      </w:pPr>
      <w:r>
        <w:rPr>
          <w:sz w:val="24"/>
        </w:rPr>
        <w:t xml:space="preserve">Особенности экономического развития стран ОПЕК на примере Саудовской Аравии. </w:t>
      </w:r>
    </w:p>
    <w:p w:rsidR="005C231A" w:rsidRDefault="005C231A">
      <w:pPr>
        <w:pStyle w:val="a4"/>
        <w:numPr>
          <w:ilvl w:val="1"/>
          <w:numId w:val="6"/>
        </w:numPr>
        <w:tabs>
          <w:tab w:val="left" w:pos="426"/>
        </w:tabs>
        <w:spacing w:line="480" w:lineRule="auto"/>
        <w:rPr>
          <w:sz w:val="24"/>
        </w:rPr>
      </w:pPr>
      <w:r>
        <w:rPr>
          <w:sz w:val="24"/>
        </w:rPr>
        <w:t>Индустриализация. Национализация частных иностранных компаний.</w:t>
      </w:r>
    </w:p>
    <w:p w:rsidR="005C231A" w:rsidRDefault="005C231A">
      <w:pPr>
        <w:pStyle w:val="a4"/>
        <w:numPr>
          <w:ilvl w:val="1"/>
          <w:numId w:val="6"/>
        </w:numPr>
        <w:tabs>
          <w:tab w:val="left" w:pos="426"/>
        </w:tabs>
        <w:spacing w:line="480" w:lineRule="auto"/>
        <w:rPr>
          <w:sz w:val="24"/>
        </w:rPr>
      </w:pPr>
      <w:r>
        <w:rPr>
          <w:sz w:val="24"/>
        </w:rPr>
        <w:t>Роль государства в реформах.</w:t>
      </w:r>
    </w:p>
    <w:p w:rsidR="005C231A" w:rsidRDefault="005C231A">
      <w:pPr>
        <w:pStyle w:val="a4"/>
        <w:numPr>
          <w:ilvl w:val="1"/>
          <w:numId w:val="6"/>
        </w:numPr>
        <w:tabs>
          <w:tab w:val="left" w:pos="426"/>
        </w:tabs>
        <w:spacing w:line="480" w:lineRule="auto"/>
        <w:rPr>
          <w:sz w:val="24"/>
        </w:rPr>
      </w:pPr>
      <w:r>
        <w:rPr>
          <w:sz w:val="24"/>
        </w:rPr>
        <w:t>Роль иностранных работников на саудовском рынке труда. Формирование национальной системы образования</w:t>
      </w:r>
    </w:p>
    <w:p w:rsidR="005C231A" w:rsidRDefault="005C231A">
      <w:pPr>
        <w:pStyle w:val="a4"/>
        <w:numPr>
          <w:ilvl w:val="0"/>
          <w:numId w:val="6"/>
        </w:numPr>
        <w:tabs>
          <w:tab w:val="left" w:pos="426"/>
        </w:tabs>
        <w:spacing w:line="480" w:lineRule="auto"/>
        <w:rPr>
          <w:sz w:val="24"/>
        </w:rPr>
      </w:pPr>
      <w:r>
        <w:rPr>
          <w:sz w:val="24"/>
        </w:rPr>
        <w:t>Противоречия в развитии Саудовской Аравии и стран ОПЕК.</w:t>
      </w:r>
    </w:p>
    <w:p w:rsidR="005C231A" w:rsidRDefault="005C231A">
      <w:pPr>
        <w:pStyle w:val="a4"/>
        <w:tabs>
          <w:tab w:val="left" w:pos="426"/>
        </w:tabs>
        <w:spacing w:line="480" w:lineRule="auto"/>
        <w:rPr>
          <w:sz w:val="24"/>
        </w:rPr>
      </w:pPr>
      <w:r>
        <w:rPr>
          <w:sz w:val="24"/>
        </w:rPr>
        <w:t>Заключение</w:t>
      </w:r>
    </w:p>
    <w:p w:rsidR="005C231A" w:rsidRDefault="005C231A">
      <w:pPr>
        <w:pStyle w:val="a4"/>
        <w:tabs>
          <w:tab w:val="left" w:pos="426"/>
        </w:tabs>
        <w:spacing w:line="480" w:lineRule="auto"/>
        <w:ind w:firstLine="720"/>
      </w:pPr>
      <w:r>
        <w:br w:type="page"/>
      </w:r>
      <w:bookmarkStart w:id="1" w:name="_Toc530141246"/>
      <w:r>
        <w:t>Введение.</w:t>
      </w:r>
      <w:bookmarkEnd w:id="1"/>
    </w:p>
    <w:p w:rsidR="005C231A" w:rsidRDefault="005C231A">
      <w:pPr>
        <w:pStyle w:val="a4"/>
        <w:tabs>
          <w:tab w:val="left" w:pos="426"/>
        </w:tabs>
        <w:spacing w:line="480" w:lineRule="auto"/>
        <w:ind w:firstLine="720"/>
        <w:rPr>
          <w:sz w:val="24"/>
        </w:rPr>
      </w:pPr>
      <w:r>
        <w:rPr>
          <w:sz w:val="24"/>
        </w:rPr>
        <w:t xml:space="preserve">В настоящей работе моей целью является показать особенности и противоречия, свойственные экономическому развитию стран ОПЕК, а конкретно одной из них – Саудовской Аравии, так как именно ее развитие наиболее ярко иллюстрирует особенности экономического становления хозяйств других нефтяных держав. </w:t>
      </w:r>
    </w:p>
    <w:p w:rsidR="005C231A" w:rsidRDefault="005C231A">
      <w:pPr>
        <w:pStyle w:val="a4"/>
        <w:tabs>
          <w:tab w:val="left" w:pos="426"/>
        </w:tabs>
        <w:spacing w:line="480" w:lineRule="auto"/>
        <w:ind w:firstLine="720"/>
        <w:rPr>
          <w:sz w:val="24"/>
        </w:rPr>
      </w:pPr>
      <w:r>
        <w:rPr>
          <w:sz w:val="24"/>
        </w:rPr>
        <w:t xml:space="preserve">Этот вопрос в настоящее время является актуальным, так как все развитие России сейчас финансируется за счет доходов от экспорта нефти и других минерально-сырьевых ресурсов. Опыт стран, которые на протяжении нескольких десятилетий жили только за счет аналогичных доходов, поможет нам понять путь, по которому следует направлять развитие Росси, чтобы будущее было как можно «светлее». </w:t>
      </w:r>
    </w:p>
    <w:p w:rsidR="005C231A" w:rsidRDefault="005C231A">
      <w:pPr>
        <w:pStyle w:val="a4"/>
        <w:tabs>
          <w:tab w:val="left" w:pos="426"/>
        </w:tabs>
        <w:spacing w:line="480" w:lineRule="auto"/>
        <w:ind w:firstLine="720"/>
        <w:rPr>
          <w:sz w:val="24"/>
        </w:rPr>
      </w:pPr>
      <w:r>
        <w:rPr>
          <w:sz w:val="24"/>
        </w:rPr>
        <w:t>Многие экономисты современности обращают свое внимание на развитие стран ОПЕК, на уровень мировых цен на нефть, на политику, осуществляемую этой организацией. Мировая цена на нефть определяет Российский бюджет, определяет, жить нам хорошо, или придется опять брать столь обременительные кредиты за рубежом.</w:t>
      </w:r>
    </w:p>
    <w:p w:rsidR="005C231A" w:rsidRDefault="005C231A">
      <w:pPr>
        <w:pStyle w:val="a4"/>
        <w:tabs>
          <w:tab w:val="left" w:pos="426"/>
        </w:tabs>
        <w:spacing w:line="480" w:lineRule="auto"/>
        <w:ind w:firstLine="720"/>
        <w:rPr>
          <w:sz w:val="24"/>
        </w:rPr>
      </w:pPr>
      <w:r>
        <w:rPr>
          <w:sz w:val="24"/>
        </w:rPr>
        <w:t xml:space="preserve">Поэтому я считаю, что следует рассмотреть экономику ОПЕК и понять основные проблемы, с которыми сталкиваются страны-члены этой организации на своем пути; основные задачи, которые следует решить государствам, чтобы приблизиться к уровню развитых стран. </w:t>
      </w:r>
    </w:p>
    <w:p w:rsidR="005C231A" w:rsidRDefault="005C231A">
      <w:pPr>
        <w:pStyle w:val="a4"/>
        <w:tabs>
          <w:tab w:val="left" w:pos="426"/>
        </w:tabs>
        <w:spacing w:line="480" w:lineRule="auto"/>
        <w:ind w:firstLine="720"/>
      </w:pPr>
      <w:r>
        <w:br w:type="page"/>
        <w:t xml:space="preserve">Общие положения об организации стран-экспортеров нефти. </w:t>
      </w:r>
    </w:p>
    <w:p w:rsidR="005C231A" w:rsidRDefault="005C231A">
      <w:pPr>
        <w:spacing w:line="480" w:lineRule="auto"/>
        <w:ind w:firstLine="851"/>
        <w:rPr>
          <w:sz w:val="24"/>
        </w:rPr>
      </w:pPr>
      <w:r>
        <w:rPr>
          <w:sz w:val="24"/>
        </w:rPr>
        <w:t>ОПЕК (организация стран-экспортеров нефти ) (</w:t>
      </w:r>
      <w:r>
        <w:rPr>
          <w:sz w:val="24"/>
          <w:lang w:val="en-US"/>
        </w:rPr>
        <w:t>Organization</w:t>
      </w:r>
      <w:r>
        <w:rPr>
          <w:sz w:val="24"/>
        </w:rPr>
        <w:t xml:space="preserve"> </w:t>
      </w:r>
      <w:r>
        <w:rPr>
          <w:sz w:val="24"/>
          <w:lang w:val="en-US"/>
        </w:rPr>
        <w:t>of</w:t>
      </w:r>
      <w:r>
        <w:rPr>
          <w:sz w:val="24"/>
        </w:rPr>
        <w:t xml:space="preserve"> </w:t>
      </w:r>
      <w:r>
        <w:rPr>
          <w:sz w:val="24"/>
          <w:lang w:val="en-US"/>
        </w:rPr>
        <w:t>the</w:t>
      </w:r>
      <w:r>
        <w:rPr>
          <w:sz w:val="24"/>
        </w:rPr>
        <w:t xml:space="preserve"> </w:t>
      </w:r>
      <w:r>
        <w:rPr>
          <w:sz w:val="24"/>
          <w:lang w:val="en-US"/>
        </w:rPr>
        <w:t>Petroleum</w:t>
      </w:r>
      <w:r>
        <w:rPr>
          <w:sz w:val="24"/>
        </w:rPr>
        <w:t xml:space="preserve"> </w:t>
      </w:r>
      <w:r>
        <w:rPr>
          <w:sz w:val="24"/>
          <w:lang w:val="en-US"/>
        </w:rPr>
        <w:t>Exporting</w:t>
      </w:r>
      <w:r>
        <w:rPr>
          <w:sz w:val="24"/>
        </w:rPr>
        <w:t xml:space="preserve"> </w:t>
      </w:r>
      <w:r>
        <w:rPr>
          <w:sz w:val="24"/>
          <w:lang w:val="en-US"/>
        </w:rPr>
        <w:t>Countries</w:t>
      </w:r>
      <w:r>
        <w:rPr>
          <w:sz w:val="24"/>
        </w:rPr>
        <w:t xml:space="preserve">) – добровольная межправительственная экономическая организация, задачей и главной целью которой является координация и унификация нефтяной политики своих государств-членов. </w:t>
      </w:r>
    </w:p>
    <w:p w:rsidR="005C231A" w:rsidRDefault="005C231A">
      <w:pPr>
        <w:spacing w:line="480" w:lineRule="auto"/>
        <w:ind w:firstLine="851"/>
        <w:rPr>
          <w:sz w:val="24"/>
        </w:rPr>
      </w:pPr>
      <w:r>
        <w:rPr>
          <w:snapToGrid w:val="0"/>
          <w:sz w:val="24"/>
        </w:rPr>
        <w:t>Стремясь активизировать борьбу против нефтяных мо</w:t>
      </w:r>
      <w:r>
        <w:rPr>
          <w:snapToGrid w:val="0"/>
          <w:sz w:val="24"/>
        </w:rPr>
        <w:softHyphen/>
        <w:t>нополий, развивающиеся страны—экспортеры жидкого топлива пришли к выводу о необходимости объединить свои силы и противопоставить организации   монополий свою собственную. В 1960 году в Багдаде главные постав</w:t>
      </w:r>
      <w:r>
        <w:rPr>
          <w:snapToGrid w:val="0"/>
          <w:sz w:val="24"/>
        </w:rPr>
        <w:softHyphen/>
        <w:t>щики нефти на мировой рынок—Венесуэла, Ирак, Иран, Кувейт и Саудовская Аравия— основали Организацию стран—экспортеров нефти (ОПЕК). ОПЕК был зарегистрирован в Организации Объединенных Наций 6 сентября 1962 года (резолюция ООН №6363).</w:t>
      </w:r>
      <w:r>
        <w:rPr>
          <w:sz w:val="24"/>
        </w:rPr>
        <w:t xml:space="preserve"> Устав ОПЕК утвержден на 2-й конференции в Каракасе 15-21 января 1961 года. В 1965 году  устав был полностью пересмотрен. Позже также в него вносились многочисленные изменения и дополнения. На долю ОПЕК сейчас приходится около 40% мирового производства нефти. Первоначально штаб квартира ОПЕК находилась в Женеве (Швейцария), но затем перебралась в Вену (Австрия).</w:t>
      </w:r>
    </w:p>
    <w:p w:rsidR="005C231A" w:rsidRDefault="005C231A">
      <w:pPr>
        <w:pStyle w:val="a3"/>
        <w:spacing w:line="480" w:lineRule="auto"/>
        <w:ind w:firstLine="851"/>
        <w:rPr>
          <w:sz w:val="24"/>
        </w:rPr>
      </w:pPr>
      <w:r>
        <w:rPr>
          <w:sz w:val="24"/>
        </w:rPr>
        <w:t>Инициатором создания организации была Венесуэла—наиболее развитая из нефтедобывающих стран, которая в течение длительного времени подвергалась эксплуатации нефтяных монополий. Понимание необходимости координации усилий против нефтяных монополий назревало и на Ближнем Востоке. Об этом свидетельствовали ирако-саудовское соглашение о согласовании Нефтяной политики в 1953 году и заседание Лиги арабских стран в 1959 году, посвященное нефтяным проблемам, на котором присутствовали представители Ирана и Венесуэлы.</w:t>
      </w:r>
    </w:p>
    <w:p w:rsidR="005C231A" w:rsidRDefault="005C231A">
      <w:pPr>
        <w:pStyle w:val="20"/>
        <w:spacing w:line="480" w:lineRule="auto"/>
        <w:rPr>
          <w:sz w:val="24"/>
        </w:rPr>
      </w:pPr>
      <w:r>
        <w:rPr>
          <w:sz w:val="24"/>
        </w:rPr>
        <w:t>Непосредственным импульсом, приведшим к созданию ассоциации экспортеров нефти, было очередное снижение справочных цен в 1959 году со стороны Международного нефтяного картеля, а также введение ограничений на импорт нефти в США.</w:t>
      </w:r>
    </w:p>
    <w:p w:rsidR="005C231A" w:rsidRDefault="005C231A">
      <w:pPr>
        <w:pStyle w:val="20"/>
        <w:spacing w:line="480" w:lineRule="auto"/>
        <w:rPr>
          <w:sz w:val="24"/>
        </w:rPr>
      </w:pPr>
      <w:r>
        <w:rPr>
          <w:sz w:val="24"/>
        </w:rPr>
        <w:t>На сегодняшний день в ОПЕК входят: Алжир (с 1969 г.), Индонезия (с 1962 г.), Ирак (с 1960 г.), Иран (с 1960 г.), Кувейт (с 1960 г.), Ливан (с 1962 г.), Нигерия (с 1971 г.), Катар (с 1961 г.), Саудовская Аравия (с 1960 г.), Объединенные Арабские Эмираты (с 1967 г.) и Венесуэла (с 1960 г.). Итого 11 государств (Габон прекратил свое членство в 1995 году, а Эквадор в 1992 году.</w:t>
      </w:r>
    </w:p>
    <w:p w:rsidR="005C231A" w:rsidRDefault="005C231A">
      <w:pPr>
        <w:pStyle w:val="20"/>
        <w:spacing w:line="480" w:lineRule="auto"/>
        <w:rPr>
          <w:sz w:val="24"/>
        </w:rPr>
      </w:pPr>
      <w:r>
        <w:rPr>
          <w:sz w:val="24"/>
        </w:rPr>
        <w:t>Основными целями создания Организации являются:</w:t>
      </w:r>
    </w:p>
    <w:p w:rsidR="005C231A" w:rsidRDefault="005C231A">
      <w:pPr>
        <w:pStyle w:val="a4"/>
        <w:numPr>
          <w:ilvl w:val="0"/>
          <w:numId w:val="2"/>
        </w:numPr>
        <w:spacing w:line="480" w:lineRule="auto"/>
        <w:rPr>
          <w:sz w:val="24"/>
        </w:rPr>
      </w:pPr>
      <w:r>
        <w:rPr>
          <w:sz w:val="24"/>
        </w:rPr>
        <w:t xml:space="preserve">Координация и унификация нефтяной политики государств-членов. </w:t>
      </w:r>
    </w:p>
    <w:p w:rsidR="005C231A" w:rsidRDefault="005C231A">
      <w:pPr>
        <w:pStyle w:val="a4"/>
        <w:numPr>
          <w:ilvl w:val="0"/>
          <w:numId w:val="2"/>
        </w:numPr>
        <w:spacing w:line="480" w:lineRule="auto"/>
        <w:rPr>
          <w:sz w:val="24"/>
        </w:rPr>
      </w:pPr>
      <w:r>
        <w:rPr>
          <w:sz w:val="24"/>
        </w:rPr>
        <w:t xml:space="preserve">Определение наиболее эффективных индивидуальных и коллективных средств защиты их интересов. </w:t>
      </w:r>
    </w:p>
    <w:p w:rsidR="005C231A" w:rsidRDefault="005C231A">
      <w:pPr>
        <w:pStyle w:val="a4"/>
        <w:numPr>
          <w:ilvl w:val="0"/>
          <w:numId w:val="2"/>
        </w:numPr>
        <w:spacing w:line="480" w:lineRule="auto"/>
        <w:rPr>
          <w:sz w:val="24"/>
        </w:rPr>
      </w:pPr>
      <w:r>
        <w:rPr>
          <w:sz w:val="24"/>
        </w:rPr>
        <w:t xml:space="preserve">Обеспечение стабильности цен на мировых рынках нефти. </w:t>
      </w:r>
    </w:p>
    <w:p w:rsidR="005C231A" w:rsidRDefault="005C231A">
      <w:pPr>
        <w:pStyle w:val="a4"/>
        <w:numPr>
          <w:ilvl w:val="0"/>
          <w:numId w:val="2"/>
        </w:numPr>
        <w:spacing w:line="480" w:lineRule="auto"/>
        <w:rPr>
          <w:sz w:val="24"/>
        </w:rPr>
      </w:pPr>
      <w:r>
        <w:rPr>
          <w:sz w:val="24"/>
        </w:rPr>
        <w:t xml:space="preserve">Внимание к интересам стран-производителей нефти и необходимости обеспечения: </w:t>
      </w:r>
    </w:p>
    <w:p w:rsidR="005C231A" w:rsidRDefault="005C231A">
      <w:pPr>
        <w:pStyle w:val="a4"/>
        <w:numPr>
          <w:ilvl w:val="0"/>
          <w:numId w:val="4"/>
        </w:numPr>
        <w:spacing w:line="480" w:lineRule="auto"/>
        <w:rPr>
          <w:sz w:val="24"/>
        </w:rPr>
      </w:pPr>
      <w:r>
        <w:rPr>
          <w:sz w:val="24"/>
        </w:rPr>
        <w:t xml:space="preserve">устойчивых доходов стран-производителей нефти; </w:t>
      </w:r>
    </w:p>
    <w:p w:rsidR="005C231A" w:rsidRDefault="005C231A">
      <w:pPr>
        <w:pStyle w:val="a4"/>
        <w:numPr>
          <w:ilvl w:val="0"/>
          <w:numId w:val="4"/>
        </w:numPr>
        <w:spacing w:line="480" w:lineRule="auto"/>
        <w:rPr>
          <w:sz w:val="24"/>
        </w:rPr>
      </w:pPr>
      <w:r>
        <w:rPr>
          <w:sz w:val="24"/>
        </w:rPr>
        <w:t xml:space="preserve">эффективного, рентабельного и регулярного снабжения стран-потребителей; </w:t>
      </w:r>
    </w:p>
    <w:p w:rsidR="005C231A" w:rsidRDefault="005C231A">
      <w:pPr>
        <w:pStyle w:val="a4"/>
        <w:numPr>
          <w:ilvl w:val="0"/>
          <w:numId w:val="4"/>
        </w:numPr>
        <w:spacing w:line="480" w:lineRule="auto"/>
        <w:rPr>
          <w:sz w:val="24"/>
        </w:rPr>
      </w:pPr>
      <w:r>
        <w:rPr>
          <w:sz w:val="24"/>
        </w:rPr>
        <w:t xml:space="preserve">справедливых доходов от инвестиций в нефтяную промышленность; </w:t>
      </w:r>
    </w:p>
    <w:p w:rsidR="005C231A" w:rsidRDefault="005C231A">
      <w:pPr>
        <w:pStyle w:val="a4"/>
        <w:numPr>
          <w:ilvl w:val="0"/>
          <w:numId w:val="4"/>
        </w:numPr>
        <w:spacing w:line="480" w:lineRule="auto"/>
        <w:rPr>
          <w:sz w:val="24"/>
        </w:rPr>
      </w:pPr>
      <w:r>
        <w:rPr>
          <w:sz w:val="24"/>
        </w:rPr>
        <w:t xml:space="preserve">Охраны окружающей среды в интересах нынешних и будущих поколений. </w:t>
      </w:r>
    </w:p>
    <w:p w:rsidR="005C231A" w:rsidRDefault="005C231A">
      <w:pPr>
        <w:pStyle w:val="a4"/>
        <w:numPr>
          <w:ilvl w:val="0"/>
          <w:numId w:val="4"/>
        </w:numPr>
        <w:spacing w:line="480" w:lineRule="auto"/>
        <w:rPr>
          <w:sz w:val="24"/>
        </w:rPr>
      </w:pPr>
      <w:r>
        <w:rPr>
          <w:sz w:val="24"/>
        </w:rPr>
        <w:t>сотрудничество со странами-нечленами ОПЕК в целях реализации инициатив по стабилизации мирового рынка нефти.</w:t>
      </w:r>
    </w:p>
    <w:p w:rsidR="005C231A" w:rsidRDefault="005C231A">
      <w:pPr>
        <w:pStyle w:val="a4"/>
        <w:spacing w:line="480" w:lineRule="auto"/>
        <w:ind w:firstLine="851"/>
        <w:rPr>
          <w:sz w:val="24"/>
        </w:rPr>
      </w:pPr>
      <w:r>
        <w:rPr>
          <w:sz w:val="24"/>
        </w:rPr>
        <w:t xml:space="preserve">В ОПЕК входят ведущие страны-производители нефти, и в связи с этим их экономическое развитие значительно отличается от развития других стран мира. Все в этом развитии подчинено одной цели – достичь как можно более высоких темпов добычи и реализации нефти на мировом рынке. Экономика этих стран развивается в зависимости от рыночной конъюнктуры цен на нефть и поэтому является показательным примером развития страны с «Добывающей» экономикой. Такой страной на данный момент является и Россия, так что опыт стран ОПЕК в нашем государстве не только может, но и должен учитываться при определении политики государства на мировом рынке нефти. Рассмотрение основных особенностей развития нефтедобывающей страны является в настоящее время актуальным предметом исследований многих ученых. </w:t>
      </w:r>
    </w:p>
    <w:p w:rsidR="005C231A" w:rsidRDefault="005C231A">
      <w:pPr>
        <w:pStyle w:val="a4"/>
        <w:spacing w:line="480" w:lineRule="auto"/>
        <w:ind w:firstLine="851"/>
        <w:rPr>
          <w:sz w:val="24"/>
        </w:rPr>
      </w:pPr>
      <w:r>
        <w:rPr>
          <w:sz w:val="24"/>
        </w:rPr>
        <w:t xml:space="preserve">Развитие стран этой организации удобнее рассматривать на примере одной из них, так как у многих стран ОПЕК развитие происходило и происходит по одному и тому же сценарию.  </w:t>
      </w:r>
    </w:p>
    <w:p w:rsidR="005C231A" w:rsidRDefault="005C231A">
      <w:pPr>
        <w:pStyle w:val="a4"/>
        <w:spacing w:line="480" w:lineRule="auto"/>
        <w:ind w:firstLine="851"/>
        <w:rPr>
          <w:sz w:val="24"/>
        </w:rPr>
      </w:pPr>
      <w:r>
        <w:rPr>
          <w:sz w:val="24"/>
        </w:rPr>
        <w:t xml:space="preserve">В качестве примера удобно брать Саудовскую Аравию, так как Саудовское королевство постоянно находится в центре внимания в силу двух обстоятельств: положения ведущего мирового нефтеэкспортера, политика которого существенно влияет на ситуацию на мировом рынке нефти, а также благодаря роли хранителя святых мест ислама, что побуждает правителей страны к активной роли в региональной и мировой политике. Такое положение сложилось еще несколько десятилетий назад, когда слабая и крайне отсталая Саудовская Аравия стояла на пороге «революции сверху». </w:t>
      </w:r>
    </w:p>
    <w:p w:rsidR="005C231A" w:rsidRDefault="005C231A">
      <w:pPr>
        <w:pStyle w:val="1"/>
      </w:pPr>
      <w:r>
        <w:br w:type="page"/>
      </w:r>
      <w:bookmarkStart w:id="2" w:name="_Toc530141247"/>
      <w:r>
        <w:t>Общие проблемы развития всех стран ОПЕК.</w:t>
      </w:r>
      <w:bookmarkEnd w:id="2"/>
    </w:p>
    <w:p w:rsidR="005C231A" w:rsidRDefault="005C231A">
      <w:pPr>
        <w:pStyle w:val="31"/>
      </w:pPr>
      <w:r>
        <w:t xml:space="preserve">Так как большинство, если не все из стран-участников ОПЕК являются развивающимися странами со сходным государственным устройством, со сходной культурой, идеологией, политикой, то естественно, что все они на тернистом пути развития встречают одни и те же препятствия. В основном, все эти препятствия связаны с устоявшимся менталитетом народа этих стран. Ведь чрезвычайно нелегко перейти к новому типу общественного устройства, не успев отвыкнув от тех устоев и традиций, которые укреплялись в сознании народа веками. </w:t>
      </w:r>
    </w:p>
    <w:p w:rsidR="005C231A" w:rsidRDefault="005C231A">
      <w:pPr>
        <w:pStyle w:val="31"/>
      </w:pPr>
      <w:r>
        <w:t xml:space="preserve">Одной из главных проблем развивающихся стран ОПЕК является банальная «куда деть деньги». Ведь не всегда легко правильно распорядиться хлынувшим на страну ливнем нефтедолларов. Монархи и правители стран, на которые обрушилось богатство, стремились использовать его «во славу собственного народа» и поэтому затевали различные «стройки века» и другие подобные проекты, которые никак нельзя назвать разумным вложением капитала. Только позднее, когда прошла эйфория от первого счастья, когда немного охладился пыл вследствие падения цен на нефть и снижения государственных доходов, средства государственного бюджета стали расходоваться более разумно и грамотно. </w:t>
      </w:r>
    </w:p>
    <w:p w:rsidR="005C231A" w:rsidRDefault="005C231A">
      <w:pPr>
        <w:pStyle w:val="31"/>
      </w:pPr>
      <w:r>
        <w:t xml:space="preserve">Второй и, на мой взгляд, главной проблемой является компенсация технологической отсталости стран ОПЕК от ведущих стран мира. Ведь к моменту создания организации некоторые из стран, входящих в ее состав, еще не избавились от пережитков феодального строя! Решением такой проблемы могла стать ускоренная индустриализация и урбанизация. Внедрение новых технологий в производство и, соответственно, жизнь людей не прошло бесследно для народа. Основными этапами индустриализации были национализация некоторых иностранных компаний, например АРАМКО в Саудовской Аравии, и активное привлечение частного капитала в промышленность. Это осуществлялось путем всесторонней государственной помощи частному сектору экономики. Например, в той же Аравии было создано 6 специальных банков и фондов, которые оказывали помощь предпринимателям под гарантии государства. </w:t>
      </w:r>
    </w:p>
    <w:p w:rsidR="005C231A" w:rsidRDefault="005C231A">
      <w:pPr>
        <w:pStyle w:val="31"/>
      </w:pPr>
      <w:r>
        <w:t xml:space="preserve">Третьей проблемой является недостаточная квалификация национальных кадров. Дело в том, что работники в государстве оказались неподготовленными к внедрению новых технологий и оказались неспособными обслуживать современные станки и оборудование, которое было поставлено на нефтедобывающих и перерабатывающих предприятиях, а также других заводах и предприятиях. Решением этой проблем стало привлечение иностранных специалистов. Это было не так легко, как кажется. Потому что вскоре это породило массу противоречий, которые все усиливались с развитием общества. Это я подробнее рассмотрел в последующих разделах. </w:t>
      </w:r>
    </w:p>
    <w:p w:rsidR="005C231A" w:rsidRDefault="005C231A">
      <w:pPr>
        <w:pStyle w:val="31"/>
      </w:pPr>
      <w:r>
        <w:t>Вот основные проблемы и задачи, которые возникали если не у всех, то у большинства государств-членов ОПЕК. Были сделаны попытки, более или менее удачные, решить их. Рассмотрим же теперь пути и средства решения этих проблем в одной отдельно взятой стране. Как я уже сказал выше, для рассмотрения я взял Саудовскую Аравию, это монархическое исламское государство на юго-западе Азии.</w:t>
      </w:r>
    </w:p>
    <w:p w:rsidR="005C231A" w:rsidRDefault="005C231A">
      <w:pPr>
        <w:pStyle w:val="1"/>
      </w:pPr>
      <w:r>
        <w:br w:type="page"/>
      </w:r>
      <w:bookmarkStart w:id="3" w:name="_Toc530141248"/>
      <w:r>
        <w:t>Особенности экономического развития Саудовской Аравии.</w:t>
      </w:r>
      <w:bookmarkEnd w:id="3"/>
    </w:p>
    <w:p w:rsidR="005C231A" w:rsidRDefault="005C231A">
      <w:pPr>
        <w:pStyle w:val="a4"/>
        <w:spacing w:line="480" w:lineRule="auto"/>
        <w:ind w:firstLine="851"/>
        <w:rPr>
          <w:sz w:val="24"/>
        </w:rPr>
      </w:pPr>
      <w:r>
        <w:rPr>
          <w:sz w:val="24"/>
        </w:rPr>
        <w:t>За 25 лет коренных социально-экономических реформ, к концу ХХ века страна и общество пережили радикальную трансформацию, совершив скачок в своем развитии и приблизившись по многим показателям к уровню промышленно развитых (современных) стран мира. В связи с этим заслуживает внимания не только рассмотрение нынешнего состояния королевства. Но и анализ определенной модели развития нефтяной монархии с присущими такому типу развития достижениями и противоречиями.</w:t>
      </w:r>
    </w:p>
    <w:p w:rsidR="005C231A" w:rsidRDefault="005C231A">
      <w:pPr>
        <w:pStyle w:val="a4"/>
        <w:spacing w:line="480" w:lineRule="auto"/>
        <w:ind w:firstLine="851"/>
        <w:rPr>
          <w:sz w:val="24"/>
        </w:rPr>
      </w:pPr>
      <w:r>
        <w:rPr>
          <w:sz w:val="24"/>
        </w:rPr>
        <w:t xml:space="preserve">Нефть определяет все современное состояние страны, которую часто называют «нефтяным королевством», и для этого имеются основания. Извлекаемые запасы нефти на начало 2000 года оцениваются в 261,2 млрд. барр. (37,3 млрд. т.), что составляет 25.9% мировых запасов. Для сравнения: доля нефтяных запасов Ирака составляет 9.9%, Кувейта – 9.6, Абу-Даби – 9.1, Ирана – 8.8, Венесуэлы – 6.4, России – 4.9%. По подсчетам экспертов, при существующем уровне добычи в 8 млн. барр. в день имеющихся запасов может хватить примерно на 84 года, в то время как Кувейту при современном уровне добычи менее 1 млн. барр. – на 100 лет. Стоит заметить, что в недрах королевства имеются и запасы природного газа объемом 5300 млрд. куб. м., что составляет 3.8% мировых запасов. Тем не менее это не означает для саудовцев возможности безмятежно ловить бьющие из-под земли нефтедоллары. Дело в том, что длительное господство американских нефтяных компаний привело к быстрому исчерпанию наиболее рентабельных саудовских месторождений Гавар, Абкайк, Барри и несколько других с легкой и сверхлегкой нефтью. Безудержная эксплуатация естественно фонтанирующих скважин повлекла за собой перспективу их досрочного истощения. После национализации крупнейшей нефтяной компании АРАМКО американские специалисты признали, что при сохранении темпов добычи 70-х годов на уровне более 9 млн. баррелей в день истощение нефтяных запасов королевства наступит через 36 лет, а при возможном уровне 12 млн. баррелей – через 15-20 лет. Это повлекло за собой пересмотр нефтяной политики королевства и стабилизацию уровня добычи нефти. </w:t>
      </w:r>
    </w:p>
    <w:p w:rsidR="005C231A" w:rsidRDefault="005C231A">
      <w:pPr>
        <w:pStyle w:val="a4"/>
        <w:spacing w:line="480" w:lineRule="auto"/>
        <w:ind w:firstLine="851"/>
        <w:rPr>
          <w:sz w:val="24"/>
        </w:rPr>
      </w:pPr>
      <w:r>
        <w:rPr>
          <w:sz w:val="24"/>
        </w:rPr>
        <w:t xml:space="preserve">Но саудовцы не всегда считаются с потолком, установленным ОПЕК для королевства. Так, в начале 90-ъ годов саудовская квота составляла 8 млн. барр., а добывалось в среднем 8.05 млн. баррелей. В 1997 году квота возросла до 8.76 млн. барр., в июне 1998 года саудовцы согласились с понижением уровня до 8.023 млн. барр., но фактически добывали 8.23 млн.; в марте 1999 года квота была в 7.438 млн., а реальный уровень добычи – 7.65 млн. </w:t>
      </w:r>
    </w:p>
    <w:p w:rsidR="005C231A" w:rsidRDefault="005C231A">
      <w:pPr>
        <w:pStyle w:val="a4"/>
        <w:spacing w:line="480" w:lineRule="auto"/>
        <w:ind w:firstLine="851"/>
        <w:rPr>
          <w:sz w:val="24"/>
        </w:rPr>
      </w:pPr>
      <w:r>
        <w:rPr>
          <w:sz w:val="24"/>
        </w:rPr>
        <w:t>Государство сохраняет под своим контролем почти всё нефтяное хозяйство. Нефтяные поступления обеспечивают основную часть доходов государства: из их общего объема в 1999 году 147 млрд. сауд. реалов (39.3 млрд. долл.) нефтяной сектор дал 100 млрд., а ненефтяной – 47 млрд.</w:t>
      </w:r>
    </w:p>
    <w:p w:rsidR="005C231A" w:rsidRDefault="005C231A">
      <w:pPr>
        <w:pStyle w:val="a4"/>
        <w:spacing w:line="480" w:lineRule="auto"/>
        <w:ind w:firstLine="851"/>
        <w:rPr>
          <w:sz w:val="24"/>
        </w:rPr>
      </w:pPr>
      <w:r>
        <w:rPr>
          <w:sz w:val="24"/>
        </w:rPr>
        <w:t xml:space="preserve">Плюсы и минусы нефтяного фактора очевидны. Доля нефти и её производных в объеме экспорта составляет более 85%, и поэтому колебания на мировом нефтяном рынке тут же сказываются на всей саудовской экономике. Объем нефтяных доходов упал с 105.8 млрд. долл. В 1980 году до 24.2 млрд. в 1985 году, вырос до 40.7 млрд. в 90 году и стабилизировался на уровне 48.5 млрд. к концу 90-х годов. </w:t>
      </w:r>
    </w:p>
    <w:p w:rsidR="005C231A" w:rsidRDefault="005C231A">
      <w:pPr>
        <w:pStyle w:val="a4"/>
        <w:spacing w:line="480" w:lineRule="auto"/>
        <w:ind w:firstLine="851"/>
        <w:rPr>
          <w:sz w:val="24"/>
        </w:rPr>
      </w:pPr>
      <w:r>
        <w:rPr>
          <w:sz w:val="24"/>
        </w:rPr>
        <w:t xml:space="preserve">При декларативных лозунгах «приватизации госсектора» нет никаких планов такого рода в отношении главной нефтяной компании САУДИ АРАМКО, остающейся «становым хребтом» саудовской экономики. Выработана долгосрочная нефтяная политика, реализация которой нуждается в немалых средствах. Поддержание существующего уровня добычи, а также обустройство новых месторождений, открытых в начале 90-х годов в центре полуострова, требуют больших инвестиций. В этом деле саудовцы тесно сотрудничают с американскими компаниями, не потерявшими своего значения для нефтяного хозяйства и после национализации АРАМКО. </w:t>
      </w:r>
    </w:p>
    <w:p w:rsidR="005C231A" w:rsidRDefault="005C231A">
      <w:pPr>
        <w:pStyle w:val="a4"/>
        <w:spacing w:line="480" w:lineRule="auto"/>
        <w:ind w:firstLine="851"/>
        <w:rPr>
          <w:sz w:val="24"/>
        </w:rPr>
      </w:pPr>
      <w:r>
        <w:rPr>
          <w:sz w:val="24"/>
        </w:rPr>
        <w:t xml:space="preserve">В то же время нефтедобыча, сохранив решающее значение в финансовом плане, уступает ведущие позиции быстро растущим нефтеперерабатывающим и нефтяным предприятиям. Созданная в 1976 году в период коренных реформ крупнейшая промышленная корпорация САБИК постепенно превратилась в важный региональный промышленный центр. На ее предприятиях занято 14.2 тыс. человек, из которых коренные жители составляют 70%. Ее деятельность в промышленных зонах Джубайль и Янбо оказалась не столь масштабной, как это планировалось в годы нефтяного бума, однако объем промышленной продукции на предприятиях САБИК и доходы от ее деятельности превратили ее в ведущего хозяйственного субъекта. Показательно, что из 17 крупнейших проектов, реализованных САБИК к началу 90-х годов (производство нефтехимических продуктов и металлургической продукции), лишь два нефтехимических завода стали чисто саудовскими (один – государственный, второй принадлежит частным владельцам). </w:t>
      </w:r>
    </w:p>
    <w:p w:rsidR="005C231A" w:rsidRDefault="005C231A">
      <w:pPr>
        <w:pStyle w:val="a4"/>
        <w:spacing w:line="480" w:lineRule="auto"/>
        <w:ind w:firstLine="851"/>
        <w:rPr>
          <w:sz w:val="24"/>
        </w:rPr>
      </w:pPr>
      <w:r>
        <w:rPr>
          <w:sz w:val="24"/>
        </w:rPr>
        <w:t xml:space="preserve">Общий объем производства 33-х компаний САБИК в 1998 году составил 24 млн. т. Продукция идет более чем в 90 стран мира. </w:t>
      </w:r>
    </w:p>
    <w:p w:rsidR="005C231A" w:rsidRDefault="005C231A">
      <w:pPr>
        <w:pStyle w:val="a4"/>
        <w:spacing w:line="480" w:lineRule="auto"/>
        <w:ind w:firstLine="851"/>
        <w:rPr>
          <w:sz w:val="24"/>
        </w:rPr>
      </w:pPr>
      <w:r>
        <w:rPr>
          <w:sz w:val="24"/>
        </w:rPr>
        <w:t xml:space="preserve">Возможности внутреннего рынка ограничены, но саудовцы твердо рассчитывают на прочное место на мировом рынке нефтехимии, естественно, с учетом с учетом вероятных конъюнктурных колебаний. Примером последних стал запрет властей Калифорнии в начале 2000 года на экспорт саудовских нефтепродуктов объемом около 3 млн. тонн в год. Замену этому главному американскому покупателю продукции САБИК найти будет крайне трудно. Но на Ближнем Востоке саудовцы остаются крупнейшими производителями удобрений. </w:t>
      </w:r>
    </w:p>
    <w:p w:rsidR="005C231A" w:rsidRDefault="005C231A">
      <w:pPr>
        <w:pStyle w:val="a4"/>
        <w:spacing w:line="480" w:lineRule="auto"/>
        <w:ind w:firstLine="851"/>
        <w:rPr>
          <w:sz w:val="24"/>
        </w:rPr>
      </w:pPr>
      <w:r>
        <w:rPr>
          <w:sz w:val="24"/>
        </w:rPr>
        <w:t xml:space="preserve">В первом пятилетнем плане социально-экономического развития на 70-75 года были названы три основные цели: увеличение объема ВВП, развитие людских ресурсов и диверсификация национальной экономики. Спустя четверть века можно констатировать, что эти цели в основном достигнуты. Объем ВВП изменился с 22.9 млрд. сауд. реалов в 70-м году до 524.7 млрд. реалов в 82 году. Развитие людских ресурсов – цель столь же экономическая, сколь и социальная. Несмотря на огромные усилия государства по развитию системы образования и подготовки кадров, саудовцы сумели лишь путем широкомасштабного привлечения иностранных работников добиться реализации амбициозных целей развития. По данным саудовского министерства планирования, на начало 2000 года численность населения королевства составляла 19.9 млн. чел. (по оценкам экспертов – 21.2 млн.), из которых коренные саудовцы составляют 74.8%. Хотя доля иностранных работников составляет около четверти всей саудовской рабочей силы, немало коренных жителей вовлечено в процесс современной экономической жизни. Тем не менее, лишь предприятия САУДИ-АРАМКО,      служащей символом государства,  обеспечены национальными кадрами. </w:t>
      </w:r>
    </w:p>
    <w:p w:rsidR="005C231A" w:rsidRDefault="005C231A">
      <w:pPr>
        <w:pStyle w:val="a4"/>
        <w:spacing w:line="480" w:lineRule="auto"/>
        <w:ind w:firstLine="851"/>
        <w:rPr>
          <w:sz w:val="24"/>
        </w:rPr>
      </w:pPr>
      <w:r>
        <w:rPr>
          <w:sz w:val="24"/>
        </w:rPr>
        <w:t xml:space="preserve">Диверсификация национальной экономики произошла, но и здесь необходимы оговорки. В структуре национального хозяйства за четверть века видны существенные перемены: роль нефтяного сектора в ВВП сократилась с 54% в начале 50-х годов до 34% в 98 году. Возникли современные отрасли обрабатывающей и иной ненефтяной промышленности. Быстро вырос сильный финансовый сектор, играющий по важности вторую роль после нефтяного. Появились 11 коммерческих банков (имеющих 1200 отделений по всей стране вместо 70 отделений четверть века назад). Все они закончили 1999 год с прибылью не менее 10%. </w:t>
      </w:r>
    </w:p>
    <w:p w:rsidR="005C231A" w:rsidRDefault="005C231A">
      <w:pPr>
        <w:pStyle w:val="2"/>
      </w:pPr>
      <w:bookmarkStart w:id="4" w:name="_Toc530141249"/>
      <w:r>
        <w:t>Индустриализация. Национализация частных иностранных компаний.</w:t>
      </w:r>
      <w:bookmarkEnd w:id="4"/>
    </w:p>
    <w:p w:rsidR="005C231A" w:rsidRDefault="005C231A">
      <w:pPr>
        <w:pStyle w:val="a4"/>
        <w:spacing w:line="480" w:lineRule="auto"/>
        <w:ind w:firstLine="851"/>
        <w:rPr>
          <w:sz w:val="24"/>
        </w:rPr>
      </w:pPr>
      <w:r>
        <w:rPr>
          <w:sz w:val="24"/>
        </w:rPr>
        <w:t xml:space="preserve">На начальном этапе коренных реформ Саудовская Аравия в полной мере пользовалась возможностями нефтяного бума. Непрерывно возраставший поток финансовых средств создал тогда у правителей страны ложные представления о неисчерпаемости этого источника доходов и возможности простого переноса в Аравию отдельных участков западной экономики. Первое привело к бесконтрольным и непроизводительным расходам, «перегреву» национальной экономики, второе – к недоиспользованию производственных мощностей из-за нехватки рабочих руки трудностей сбыта готовой продукции. Стремительная индустриализация вкупе с урбанизацией и повышением качества жизни населения все более обостряли проблему водных ресурсов, важность которой возрастает в регионе с каждым годом: запасы пресной воды в королевстве оценивались на 1997 год в 124 л. на душу населения по сравнению с 483 л. в Алжире, 158 в Иордании, 260 в Йемене и 59 л. в ОАЭ. </w:t>
      </w:r>
    </w:p>
    <w:p w:rsidR="005C231A" w:rsidRDefault="005C231A">
      <w:pPr>
        <w:pStyle w:val="a4"/>
        <w:spacing w:line="480" w:lineRule="auto"/>
        <w:ind w:firstLine="851"/>
        <w:rPr>
          <w:sz w:val="24"/>
        </w:rPr>
      </w:pPr>
      <w:r>
        <w:rPr>
          <w:sz w:val="24"/>
        </w:rPr>
        <w:t xml:space="preserve">Правители страны оказались вынужденными пересмотреть свои представления о будущем экономическом развитии. Расходы на все экономические государственные проекты были урезаны, плановые наметки сокращены, ожесточился режим экономии. В начале 1990-х годов спад спроса на нефть и сокращение доходов от ее экспорта, а также финансовые тяготы от войны в заливе привели к ухудшению финансового положения государства, что также повлияло как на масштабы проектов, так и на стратегию развития. Уже с середины 70-х годов государство активизирует свои усилия по привлечению в производственный сектор частного саудовского капитала; эта цель была названа главной в четвертом пятилетнем плане на 1985-1990 гг. </w:t>
      </w:r>
    </w:p>
    <w:p w:rsidR="005C231A" w:rsidRDefault="005C231A">
      <w:pPr>
        <w:pStyle w:val="a4"/>
        <w:spacing w:line="480" w:lineRule="auto"/>
        <w:ind w:firstLine="851"/>
        <w:rPr>
          <w:sz w:val="24"/>
        </w:rPr>
      </w:pPr>
      <w:r>
        <w:rPr>
          <w:sz w:val="24"/>
        </w:rPr>
        <w:t xml:space="preserve">В 70-80-е годы частный сектор рос в «тепличных условиях», при мощной поддержке государства, покровительствующего законодательства и помощи шести специальных фондов и банков. После того, как государство создало прочную нефтяную и финансовую основу для экономического развития, а также современную промышленную инфраструктуру, оно сочло, что пришло время для более активного участия в промышленном развитии национального частного капитала. Саудовская Аравия должна была теперь приспособиться к иному образу жизни. </w:t>
      </w:r>
    </w:p>
    <w:p w:rsidR="005C231A" w:rsidRDefault="005C231A">
      <w:pPr>
        <w:pStyle w:val="a4"/>
        <w:spacing w:line="480" w:lineRule="auto"/>
        <w:ind w:firstLine="851"/>
        <w:rPr>
          <w:sz w:val="24"/>
        </w:rPr>
      </w:pPr>
      <w:r>
        <w:rPr>
          <w:sz w:val="24"/>
        </w:rPr>
        <w:t xml:space="preserve">Начался очередной этап в развитии страны, ее индустриализация. В 1998 году в стране имелось 3103 промышленных предприятия; общее число занятых на них составляло 283 тыс. чел.; объем капиталовложений доходил до 230 млрд. сауд. реалов; три четверти компаний являлись совместными предприятиями. Новыми центрами промышленного развития стали Джубайль и Янбо, создание которых явилось большим достижением государства. Произошла частичная приватизация САБИК, 30% акций которой перешли к саудовским частным лицам. Частный капитал принимает участие в реализации инфраструктурных проектов. Тем не менее и ныне контроль за развитием этих промышленных зон сохраняет специальная королевская комиссия. Сюда же направляется основной поток государственных инвестиций. </w:t>
      </w:r>
    </w:p>
    <w:p w:rsidR="005C231A" w:rsidRDefault="005C231A">
      <w:pPr>
        <w:pStyle w:val="a4"/>
        <w:spacing w:line="480" w:lineRule="auto"/>
        <w:ind w:firstLine="851"/>
        <w:rPr>
          <w:sz w:val="24"/>
        </w:rPr>
      </w:pPr>
      <w:r>
        <w:rPr>
          <w:sz w:val="24"/>
        </w:rPr>
        <w:t xml:space="preserve">Ненефтяной частный сектор в промышленности, включающий свыше 2400 компаний, в 1998 году показал рост 5%. Он обеспечивал рабочие места для 25% жителей страны. Государство постепенно начинает отказываться от своей роли «локомотива» экономики и делает ставку на частное предпринимательство. Однако ответная реакция пока что весьма сдержана. </w:t>
      </w:r>
    </w:p>
    <w:p w:rsidR="005C231A" w:rsidRDefault="005C231A">
      <w:pPr>
        <w:pStyle w:val="a4"/>
        <w:spacing w:line="480" w:lineRule="auto"/>
        <w:ind w:firstLine="851"/>
        <w:rPr>
          <w:sz w:val="24"/>
        </w:rPr>
      </w:pPr>
      <w:r>
        <w:rPr>
          <w:sz w:val="24"/>
        </w:rPr>
        <w:t>Причины небольшой заинтересованности частного капитала в промышленных проектах состоят не только в его слабости и непрофессионализме, надежде на государственную опеку и привычке к сотрудничеству с западными компаниями. Один из крупнейших саудовских предпринимателей, эмир Валид ибн Талал на вопрос «Интернжшнл Гэральд Трибьюн», почему из своего состояния объемом более 15 млрд. долл. Он вкладывает около 70% средств за пределами королевства, ответил так: «Я глубоко верю в саудовскую экономику и сохраняю значительные инвестиции в торговых и других компаниях, но существующие там возможности не достигают того уровня рентабельности, как в других странах».</w:t>
      </w:r>
    </w:p>
    <w:p w:rsidR="005C231A" w:rsidRDefault="005C231A">
      <w:pPr>
        <w:pStyle w:val="a4"/>
        <w:spacing w:line="480" w:lineRule="auto"/>
        <w:ind w:firstLine="851"/>
        <w:rPr>
          <w:sz w:val="24"/>
        </w:rPr>
      </w:pPr>
      <w:r>
        <w:rPr>
          <w:sz w:val="24"/>
        </w:rPr>
        <w:t>Тем не менее, и последние несколько лет частный капитал активно пошел в самые современные отрасли. Нефтедоллары позволили за короткий срок достичь хороших показателей по уровню научно-технического развития.   Показателем стремления саудовцев не отстать от уровня развитых стран стало создание в конце 90-х годов несколько технопарков по примеру США и Тайваня. Создан завод по сборке компьютеров. В 1999 году возникло более 10 смешанных компаний, предоставляющих услуги Интернета. В технопарке имени короля Абдель Азиза основное внимание уделяется внедрению сети Интернет во все сферы жизни королевства.  В сентябре 1999 года один из руководителей компании Майкрософт М. Лакомб подписал соглашение с правительством об оказании технической поддержки правительственным учреждениями системе образования по развитию арабоязычной компьютерной сети.</w:t>
      </w:r>
    </w:p>
    <w:p w:rsidR="005C231A" w:rsidRDefault="005C231A">
      <w:pPr>
        <w:pStyle w:val="a4"/>
        <w:spacing w:line="480" w:lineRule="auto"/>
        <w:ind w:firstLine="851"/>
        <w:rPr>
          <w:sz w:val="24"/>
          <w:lang w:val="en-US"/>
        </w:rPr>
      </w:pPr>
      <w:r>
        <w:rPr>
          <w:sz w:val="24"/>
        </w:rPr>
        <w:t xml:space="preserve">И все же, в пятилетнем плане на 1990-95 годы в качестве первоочередных были названы не экономические, а социально-политические цели: сохранение исламских ценностей, а также защита веры и нации. Фактически, это стало признанием завершенности коренных реформ в экономической части путем ускоренной индустриализации при отказе от амбициозных планов достижения уровня среднеразвитых западных стран. Национальное хозяйство было в основном переустроено на новых, более современных, основах и обрело возможности для саморазвития. Более трудной и длительной оказалась социальная трансформация общества в процессе «революции сверху». </w:t>
      </w:r>
    </w:p>
    <w:p w:rsidR="005C231A" w:rsidRDefault="005C231A">
      <w:pPr>
        <w:pStyle w:val="a4"/>
        <w:spacing w:line="480" w:lineRule="auto"/>
        <w:ind w:firstLine="851"/>
        <w:rPr>
          <w:sz w:val="24"/>
        </w:rPr>
      </w:pPr>
      <w:r>
        <w:rPr>
          <w:sz w:val="24"/>
        </w:rPr>
        <w:t xml:space="preserve">За годы коренных реформ сугубо традиционное общество, в котором сочетались феодальные, раннекапиталистические и даже родоплеменные элементы, не только стало более однородным, но и сумело трансформироваться в более современное качество. Важную и активную роль в социальном переустройстве общества играло государство. </w:t>
      </w:r>
    </w:p>
    <w:p w:rsidR="005C231A" w:rsidRDefault="005C231A">
      <w:pPr>
        <w:pStyle w:val="2"/>
      </w:pPr>
      <w:bookmarkStart w:id="5" w:name="_Toc530141250"/>
      <w:r>
        <w:t>Роль государства в реформах.</w:t>
      </w:r>
      <w:bookmarkEnd w:id="5"/>
    </w:p>
    <w:p w:rsidR="005C231A" w:rsidRDefault="005C231A">
      <w:pPr>
        <w:pStyle w:val="a4"/>
        <w:spacing w:line="480" w:lineRule="auto"/>
        <w:ind w:firstLine="851"/>
        <w:rPr>
          <w:sz w:val="24"/>
        </w:rPr>
      </w:pPr>
      <w:r>
        <w:rPr>
          <w:sz w:val="24"/>
        </w:rPr>
        <w:t>Его активная социальная политика стала важной частью процесса коренных преобразований. Основное внимание уделялось созданию систем образования и здравоохранения. Расходы на эти цели под названием «развитие человеческих ресурсов» во всех пятилетних планах стояли на втором месте по объему ассигнований после статьи «оборона и безопасность». В 1995 году доля расходов на образование в процентах ВВП составляла в Саудовской Аравии 5.5 (Австрия – 5.5, Египет – 5.6), на здравоохранение – 3.1 (5.9 и 1.6).</w:t>
      </w:r>
    </w:p>
    <w:p w:rsidR="005C231A" w:rsidRDefault="005C231A">
      <w:pPr>
        <w:pStyle w:val="a4"/>
        <w:spacing w:line="480" w:lineRule="auto"/>
        <w:ind w:firstLine="851"/>
        <w:rPr>
          <w:sz w:val="24"/>
        </w:rPr>
      </w:pPr>
      <w:r>
        <w:rPr>
          <w:sz w:val="24"/>
        </w:rPr>
        <w:t xml:space="preserve">Индустриализация и урбанизация привели к перетеканию сельского населения в города. Доля горожан выросла к 1998 году до 85%. В 80-е годы кочевники составляли уже меньшую часть населения, хотя оставались важным элементом социальной базы правящего режима. Сформировался аравийский пролетариат, в многонациональном составе которого коренные жители составляют абсолютное меньшинство. В оды нефтяного бума вырос широкий слой мелкой и средней буржуазии, состоящей из выходцев из городских мелких торговцев, ростовщиков, ремесленников, а также шейхов кочевых племен. Возник обширный слой служащих государственного и частного секторов. </w:t>
      </w:r>
    </w:p>
    <w:p w:rsidR="005C231A" w:rsidRDefault="005C231A">
      <w:pPr>
        <w:pStyle w:val="a4"/>
        <w:spacing w:line="480" w:lineRule="auto"/>
        <w:ind w:firstLine="851"/>
        <w:rPr>
          <w:sz w:val="24"/>
        </w:rPr>
      </w:pPr>
      <w:r>
        <w:rPr>
          <w:sz w:val="24"/>
        </w:rPr>
        <w:t xml:space="preserve">Правящие и господствующие слои в королевстве составляют в основном одни и те же люди – около семи тысяч эмиров королевской семьи Саудидов, родственные им кланы бедуинской «аристократии», верхушка бюрократии и крупной буржуазии. Формальное «осовременивание» социальной структуры в Аравии не привело к ее коренной перестройке. Принадлежность к определенному племени или местности продолжает играть определенную роль. Хотя в условиях возросшей социальной мобильности облегчились условия для продвижения по вертикали, это происходит в административно-государственном аппарате, в меньшей степени – в бизнесе. Ключевые рычаги управления и господствующие позиции в экономической жизни прочно занимает семья Саудидов, превратившаяся из феодального клана в конгломерат различных корпораций и своеобразную «государственную партию». Тем не менее сохранение Саудидами монополии на власть пока не вызывает открытого недовольства в обществе. В то же время, сознавая потенциальные угрозы, Саудиды постепенно идут на отдельные уступки. </w:t>
      </w:r>
    </w:p>
    <w:p w:rsidR="005C231A" w:rsidRDefault="005C231A">
      <w:pPr>
        <w:pStyle w:val="a4"/>
        <w:spacing w:line="480" w:lineRule="auto"/>
        <w:ind w:firstLine="851"/>
        <w:rPr>
          <w:sz w:val="24"/>
        </w:rPr>
      </w:pPr>
      <w:r>
        <w:rPr>
          <w:sz w:val="24"/>
        </w:rPr>
        <w:t xml:space="preserve">В 1982 году король Фахт ибн Абдель Азиз заявил о создании консультативного совета, а в 1992 году такой орган в составе 80 назначаемых королем видных деятелей науки, бизнеса, бюрократии и улемов начал функционировать. Совет обладает лишь рекомендательными функциями, однако рассматривает все проблемы жизни королевства. В ответ на вопрос западных журналистов, почему не проведены в Совет «свободные выборы», король прямо сказал, что «в таком случае были бы избраны не самые достойные, а самые богатые». </w:t>
      </w:r>
    </w:p>
    <w:p w:rsidR="005C231A" w:rsidRDefault="005C231A">
      <w:pPr>
        <w:pStyle w:val="a4"/>
        <w:spacing w:line="480" w:lineRule="auto"/>
        <w:ind w:firstLine="851"/>
        <w:rPr>
          <w:sz w:val="24"/>
        </w:rPr>
      </w:pPr>
      <w:r>
        <w:rPr>
          <w:sz w:val="24"/>
        </w:rPr>
        <w:t xml:space="preserve">Весной 1992 года королем был изданы декреты, имеющие конституционное значение. В них Саудовская Аравия провозглашается арабским, исламским, полностью суверенным государством, религией которого является ислам, а конституцией – «Книга Аллаха Всевышнего и Сунна Его Пророка». В стране сохраняется монархическая форма правления во главе с династией Саудидов, в основе которого лежат «справедливость, совет и равенство». Экономической и социальной базой государства являются «собственность, капитал и труд». Государство обеспечивает неприкосновенность частной собственности, берет на себя «защиту ислама и воплощение в жизнь основ шариата», в соответствии с которыми обеспечиваются права человека. Средства массовой информации обязываются придерживаться порядков, установленных государством, участвовать в «просвещении нации и укреплении ее единства». Король направляет политику страны, возглавляет Совет министров, является верховным главнокомандующим и определяет порядок работы консультативного совета. </w:t>
      </w:r>
    </w:p>
    <w:p w:rsidR="005C231A" w:rsidRDefault="005C231A">
      <w:pPr>
        <w:pStyle w:val="a4"/>
        <w:spacing w:line="480" w:lineRule="auto"/>
        <w:ind w:firstLine="851"/>
        <w:rPr>
          <w:sz w:val="24"/>
        </w:rPr>
      </w:pPr>
      <w:r>
        <w:rPr>
          <w:sz w:val="24"/>
        </w:rPr>
        <w:t>В принятых декретах не содержалось ничего принципиально нового, но стоит отметить сам факт из появления. Власть таким образом в соответствии с принятыми нормами права задним числом санкционировало свою легитимность и закрепило принципы существующего правления, в числе которых – запрет на политические и профсоюзные организации. Новым шагом в демонополизации управления стало формирование в сентябре 1999 года в рамках правительственного Высшего Экономического Совета новой Комиссии по экономическим вопросам из представителей науки и крупной буржуазии.</w:t>
      </w:r>
    </w:p>
    <w:p w:rsidR="005C231A" w:rsidRDefault="005C231A">
      <w:pPr>
        <w:pStyle w:val="a4"/>
        <w:spacing w:line="480" w:lineRule="auto"/>
        <w:ind w:firstLine="851"/>
        <w:rPr>
          <w:sz w:val="24"/>
        </w:rPr>
      </w:pPr>
      <w:r>
        <w:rPr>
          <w:sz w:val="24"/>
        </w:rPr>
        <w:t xml:space="preserve">Политическая оппозиция как формализованное движение, противостоящее правящей семье Саудидов, практически отсутствует, хотя немало диссидентов за границей критикуют и династию, и политику короля. В то же время внутри страны сохраняется и даже возрастает противоречие между возросшим качеством жизни, высоким уровнем образования населения, его участием в современном производственном процессе и сохранившимися почти без изменения традиционными условиями повседневной жизни. Саудовское общество остается традиционным не в смысле «отсталости» или несоответствия исходной при начале коренных реформ «западной модели», а потому что Традиция (в широком понимании) остается системообразующим принципом общественной жизни. </w:t>
      </w:r>
    </w:p>
    <w:p w:rsidR="005C231A" w:rsidRDefault="005C231A">
      <w:pPr>
        <w:pStyle w:val="a4"/>
        <w:spacing w:line="480" w:lineRule="auto"/>
        <w:ind w:firstLine="851"/>
        <w:rPr>
          <w:sz w:val="24"/>
        </w:rPr>
      </w:pPr>
      <w:r>
        <w:rPr>
          <w:sz w:val="24"/>
        </w:rPr>
        <w:t>Большое неудовольствие вызывает у побывавшего на Западе молодого поколения саудовцев, получивших современное образование, униженное положение женщины в саудовском обществе. В начале 90-х годов несколько молодых женщин решились на открытый протест:в центре Эр-Рияда они перегородили движение, требуя всего лишь права на вождение автомобиля. Они были тут же задержаны полицией, работающие – уволены со службы, у всех были изъяты паспорта, что лишало их возможности выехать из страны. Но спустя год король принял их и простил, пообещав «рассмотреть возможности по более активному участию женщин в жизни общества и в соответствии с нормами ислама».</w:t>
      </w:r>
    </w:p>
    <w:p w:rsidR="005C231A" w:rsidRDefault="005C231A">
      <w:pPr>
        <w:pStyle w:val="a4"/>
        <w:spacing w:line="480" w:lineRule="auto"/>
        <w:ind w:firstLine="851"/>
        <w:rPr>
          <w:sz w:val="24"/>
        </w:rPr>
      </w:pPr>
      <w:r>
        <w:rPr>
          <w:sz w:val="24"/>
        </w:rPr>
        <w:t xml:space="preserve">Существенных перемен не произошло, но в саудовской прессе, полностью подконтрольной государству, стало появляться все больше материалов об участии женщин в производстве, о деятельности женских отделений банков, об участии женщин в сферах здравоохранения и обслуживания, об успехах в женском образовании. В сентябре 1999 года широко сообщалось о получении степени доктора философии в британском университете Шадией Абдалла Хасан Юсуф, занимавшейся медицинскими исследованиями. Представляется, что правящие верхи готовы к смягчению некоторых жестких норм, традиционных отношений в обществе, однако считаются с инерцией сознания основной массы народа. Не менее вероятно и то, что Саудиды, подобно любой власти в любой стране, стремятся до последнего избегать существенных перемен, ибо они неудержимо влекут за собой другие и могут выйти из-под контроля. </w:t>
      </w:r>
    </w:p>
    <w:p w:rsidR="005C231A" w:rsidRDefault="005C231A">
      <w:pPr>
        <w:pStyle w:val="2"/>
      </w:pPr>
      <w:bookmarkStart w:id="6" w:name="_Toc530141251"/>
      <w:r>
        <w:t>Роль иностранных работников на саудовском рынке труда. Формирование национальной системы образования.</w:t>
      </w:r>
      <w:bookmarkEnd w:id="6"/>
    </w:p>
    <w:p w:rsidR="005C231A" w:rsidRDefault="005C231A">
      <w:pPr>
        <w:pStyle w:val="a4"/>
        <w:spacing w:line="480" w:lineRule="auto"/>
        <w:ind w:firstLine="851"/>
        <w:rPr>
          <w:sz w:val="24"/>
        </w:rPr>
      </w:pPr>
      <w:r>
        <w:rPr>
          <w:sz w:val="24"/>
        </w:rPr>
        <w:t xml:space="preserve">Потенциальным источником опасности для политической и социальной стабильности являются иностранные работники в королевстве. Их доля не столь велика, как в соседних нефтяных монархиях, где иностранцы составляют более двух третей населения. Однако, по различным оценкам, на начало 2000 года в Саудовской Аравии находилось от 4 до 6 миллионов иностранцев, занятых в различных сферах промышленности, сельского хозяйства и услуг. Стоит заметить, что в немалой степени это вызвано искусственным недопущением женщин на рынок труда. По саудовским данным, на государственной службе доля женщин составляет 7%, в частном секторе – 1%. </w:t>
      </w:r>
    </w:p>
    <w:p w:rsidR="005C231A" w:rsidRDefault="005C231A">
      <w:pPr>
        <w:pStyle w:val="a4"/>
        <w:spacing w:line="480" w:lineRule="auto"/>
        <w:ind w:firstLine="851"/>
        <w:rPr>
          <w:sz w:val="24"/>
        </w:rPr>
      </w:pPr>
      <w:r>
        <w:rPr>
          <w:sz w:val="24"/>
        </w:rPr>
        <w:t>Иностранная рабочая сила сыграла важную, а точнее, решающую роль в создании современного хозяйства и социальной сферы. Национальный состав и условия пребывания иностранных работников за несколько десятилетий разительно изменились. После нескольких выступлений палестинцев и других арабов, после разгула дикости и разврата африканских работников в 70-е годы, ставка была сделана на жителей Южной и Юго-Восточной Азии, а также Дальнего Востока. Власти, кроме того, отказались от опасной неупорядоченности и стихийности при найме рабочей силы и перешли на уровень межгосударственных соглашений с Индией, Пакистаном, Тайванем и рядом других азиатских и африканских стран, а также ввели законодательство, жестко регулирующее сроки и условия пребывания иностранных работников на территории королевства.</w:t>
      </w:r>
    </w:p>
    <w:p w:rsidR="005C231A" w:rsidRDefault="005C231A">
      <w:pPr>
        <w:pStyle w:val="a4"/>
        <w:spacing w:line="480" w:lineRule="auto"/>
        <w:ind w:firstLine="851"/>
        <w:rPr>
          <w:sz w:val="24"/>
        </w:rPr>
      </w:pPr>
      <w:r>
        <w:rPr>
          <w:sz w:val="24"/>
        </w:rPr>
        <w:t xml:space="preserve">Тем не менее важными проблемами остаются оптимизация численности иностранной рабочей силы и недопущение перерастания в угрозу режиму из-за требований предоставления подданства или равных с коренными жителями социальных и экономических прав. Переход к практике регулируемого использования иностранцев стал вынужденной мерой после фактической неудачи «политики саудизации» рабочей силы, на которую в течение 80-90-х годов расходовались значительные средства. Важной причиной, объясняющей слабую отдачу «политики саудизации», называют конкуренцию иностранных рабочих, более квалифицированных и согласных с более низкой оплатой труда, отсутствием социальных норм и трудными условиями работы. Однако первопричиной этого является нежелание коренных жителей королевства включаться в производство. «Продолжающееся преобладание общеобразовательного направления над техническим…сохраняющееся предпочтение студентами университетов гуманитарных специальностей, </w:t>
      </w:r>
      <w:r>
        <w:rPr>
          <w:sz w:val="24"/>
        </w:rPr>
        <w:noBreakHyphen/>
        <w:t xml:space="preserve"> пишет историк аль-Захрани, </w:t>
      </w:r>
      <w:r>
        <w:rPr>
          <w:sz w:val="24"/>
        </w:rPr>
        <w:noBreakHyphen/>
        <w:t xml:space="preserve"> сохраняется, обретая вид нужды в иностранных кадрах». </w:t>
      </w:r>
    </w:p>
    <w:p w:rsidR="005C231A" w:rsidRDefault="005C231A">
      <w:pPr>
        <w:pStyle w:val="a4"/>
        <w:spacing w:line="480" w:lineRule="auto"/>
        <w:ind w:firstLine="851"/>
        <w:rPr>
          <w:sz w:val="24"/>
        </w:rPr>
      </w:pPr>
      <w:r>
        <w:rPr>
          <w:sz w:val="24"/>
        </w:rPr>
        <w:t xml:space="preserve">Таким образом, инерция традиционного бедуинского общества сказывается на укоренении презрительного отношения к технической и любой производственной, «грязной» деятельности. Но помимо этого, само образование и обучение еще не стали в обществе безусловной социальной ценностью. </w:t>
      </w:r>
    </w:p>
    <w:p w:rsidR="005C231A" w:rsidRDefault="005C231A">
      <w:pPr>
        <w:pStyle w:val="a4"/>
        <w:spacing w:line="480" w:lineRule="auto"/>
        <w:ind w:firstLine="851"/>
        <w:rPr>
          <w:sz w:val="24"/>
        </w:rPr>
      </w:pPr>
      <w:r>
        <w:rPr>
          <w:sz w:val="24"/>
        </w:rPr>
        <w:t>Создание и развитие современной системы образования, включающей 8 университетов, является предметом законной гордости саудовцев. В настоящее время начальным образованием охвачено более 90% соответствующего возраста населения. Однако, по данным саудовского Министерства Просвещения, в начальной школе успеваемость составляла 68% в 1987 году и 78% в 1994 году. В полной средней школе в эти же годы успеваемость была соответственно 69 и 70%. Недостаточная эффективность системы образования в стране вызвана прежде всего низким уровнем образования и материального положения родителей ученика. Можно добавить к тому и другие причины: недостаточную квалификацию учителей, несовершенство школьных программ, сохранение традиционной зубрежки, пренебрежение техническими средствами обучения.</w:t>
      </w:r>
    </w:p>
    <w:p w:rsidR="005C231A" w:rsidRDefault="005C231A">
      <w:pPr>
        <w:pStyle w:val="a4"/>
        <w:spacing w:line="480" w:lineRule="auto"/>
        <w:ind w:firstLine="851"/>
        <w:rPr>
          <w:sz w:val="24"/>
        </w:rPr>
      </w:pPr>
      <w:r>
        <w:rPr>
          <w:sz w:val="24"/>
        </w:rPr>
        <w:t>В седьмом пятилетнем плане на 2000-2005 гг. вновь на первое место поставлено «развитие человеческих ресурсов» для создания рабочей силы, способной заменить иностранных работников. Наряду с повышением квалификации коренных жителей, не менее важной и трудной задачей считается привлечение на рынок труда выпускников школ и университетов, в настоящее время считающих образование не столько средством к существованию, сколько способом повышения престижа, и не спешащих включаться в трудовую деятельность.</w:t>
      </w:r>
    </w:p>
    <w:p w:rsidR="005C231A" w:rsidRDefault="005C231A">
      <w:pPr>
        <w:pStyle w:val="1"/>
      </w:pPr>
      <w:bookmarkStart w:id="7" w:name="_Toc530141252"/>
      <w:r>
        <w:t>Противоречия в развитии Саудовской Аравии.</w:t>
      </w:r>
      <w:bookmarkEnd w:id="7"/>
    </w:p>
    <w:p w:rsidR="005C231A" w:rsidRDefault="005C231A">
      <w:pPr>
        <w:pStyle w:val="a4"/>
        <w:spacing w:line="480" w:lineRule="auto"/>
        <w:ind w:firstLine="851"/>
        <w:rPr>
          <w:sz w:val="24"/>
        </w:rPr>
      </w:pPr>
      <w:r>
        <w:rPr>
          <w:sz w:val="24"/>
        </w:rPr>
        <w:t xml:space="preserve">Пример с образованием служит яркой иллюстрацией противоречивости саудовской модернизации в целом. Очевидно, что в последние десятилетия при видимом осовременивании образа жизни саудовских подданных путем использования многих материальных достижений западной цивилизации, в самом обществе происходит более медленное усвоение иных ценностей, норм жизни и их адаптации к привычным условиям существования. Ведь если в сфере материального производства оказалось возможным простое заимствование западного опыта, так как техника не имеет национальности, то в сфере социальной и духовной – положение иное. </w:t>
      </w:r>
    </w:p>
    <w:p w:rsidR="005C231A" w:rsidRDefault="005C231A">
      <w:pPr>
        <w:pStyle w:val="a4"/>
        <w:spacing w:line="480" w:lineRule="auto"/>
        <w:ind w:firstLine="851"/>
        <w:rPr>
          <w:sz w:val="24"/>
        </w:rPr>
      </w:pPr>
      <w:r>
        <w:rPr>
          <w:sz w:val="24"/>
        </w:rPr>
        <w:t xml:space="preserve">Примеров американизации в королевстве можно найти столько же, сколько и примеров пуританской верности исламу. Например, система образования в Саудовской Аравии просто скопирована с американской. На всех уровнях и во всех звеньях административного, государственного и хозяйственного управления преобладают выпускники американских университетов, американский мультики, развлекательные и образовательные передачи занимают немалый объем вещания саудовского телевидения. Фактически, союзные отношения Саудовской Аравии и США в сфере политики и обороны, наряду с активнейшим взаимодействием в сфере экономики, гарантируют прочную базу для всесторонней американской экспансии. Однако границы этой экспансии в настоящее время четко очерчены. Стихийное расширение процесса вестернизации в ходе коренных реформ вызвало в 1979 году мятеж исламских фундаменталистов, а присутствие американских и иных западных войск на территории королевства в период войны в Персидском заливе 1991-92 г. породило активизацию исламских экстремистов, приведшую к гибели нескольких десятков американских военнослужащих. </w:t>
      </w:r>
    </w:p>
    <w:p w:rsidR="005C231A" w:rsidRDefault="005C231A">
      <w:pPr>
        <w:pStyle w:val="a4"/>
        <w:spacing w:line="480" w:lineRule="auto"/>
        <w:ind w:firstLine="851"/>
        <w:rPr>
          <w:sz w:val="24"/>
        </w:rPr>
      </w:pPr>
      <w:r>
        <w:rPr>
          <w:sz w:val="24"/>
        </w:rPr>
        <w:t xml:space="preserve">При всем том, что большинство саудовского общества чуждо крайностей как вестернизации, так и пуританского ислама, сами по себе названные явления заслуживают внимания, как проявления в обществе противоречий, порожденных коренными реформами и приобретающих опасную форму открытого конфликта. Оставляя в стороне рассмотрение политического авантюризма экстремистов типа Осамы бин Ладена, укажем, что объективной основой для возникновения даже в условиях строго исламского общества подобных конфликтов стали, во-первых, чрезмерно ускоренный ход коренных реформ, а во-вторых, естественная верность своим традициям. </w:t>
      </w:r>
    </w:p>
    <w:p w:rsidR="005C231A" w:rsidRDefault="005C231A">
      <w:pPr>
        <w:pStyle w:val="a4"/>
        <w:spacing w:line="480" w:lineRule="auto"/>
        <w:ind w:firstLine="851"/>
        <w:rPr>
          <w:sz w:val="24"/>
        </w:rPr>
      </w:pPr>
      <w:r>
        <w:rPr>
          <w:sz w:val="24"/>
        </w:rPr>
        <w:t>Скачкообразная социальная трансформация саудовского общества была вызвана к жизни в период нефтяного бума ускоренной индустриализацией, урбанизацией и появлением нефтедолларов, что в совокупности вызвало психологический шок. Вслед за изменением характера труда стали меняться нормы поведения. После внедрения бытовой техники изменилась роль женщины в семье. Частными проявлениями реформ стали широкое распространение презрения к труду на материальном производстве, стремление к работе в госсекторе или на госслужбе с твердыми гарантиями надежности, отношение к иностранным рабочим как к современному варианту рабов (рабство в королевстве было отменено только в 1962 году), но также – желание сохранить нечто устойчивое. Это не только ислам в его фундаментальных основах, но также традиционные нормы быта, искусства, литературы.</w:t>
      </w:r>
    </w:p>
    <w:p w:rsidR="005C231A" w:rsidRDefault="005C231A">
      <w:pPr>
        <w:pStyle w:val="a4"/>
        <w:spacing w:line="480" w:lineRule="auto"/>
        <w:ind w:firstLine="851"/>
        <w:rPr>
          <w:sz w:val="24"/>
          <w:lang w:val="en-US"/>
        </w:rPr>
      </w:pPr>
      <w:r>
        <w:rPr>
          <w:sz w:val="24"/>
        </w:rPr>
        <w:t>Оставляя в стороне проблемы ближневосточного урегулирования, Запад в образе США воспринимался в королевстве массой населения и как могущественный союзник, и как враг. Объективное возрастание роли США и усиление американского влияния в разнообразных формах вызвали не только негативную реакцию неприятия чужого опыта, но и позитивный отклик – обращение к своему наследию. Отсюда проистекает усиление стремления к традиционным основам жизни саудовского общества.</w:t>
      </w:r>
    </w:p>
    <w:p w:rsidR="005C231A" w:rsidRDefault="005C231A">
      <w:pPr>
        <w:pStyle w:val="1"/>
      </w:pPr>
      <w:r>
        <w:br w:type="page"/>
      </w:r>
      <w:bookmarkStart w:id="8" w:name="_Toc530141253"/>
      <w:r>
        <w:t>Заключение</w:t>
      </w:r>
      <w:bookmarkEnd w:id="8"/>
    </w:p>
    <w:p w:rsidR="005C231A" w:rsidRDefault="005C231A">
      <w:pPr>
        <w:pStyle w:val="22"/>
        <w:spacing w:line="480" w:lineRule="auto"/>
        <w:ind w:firstLine="851"/>
      </w:pPr>
      <w:r>
        <w:t>В настоящее время ОПЕК продолжает играть свою роль в мировой экономике и международных отношениях. Мировые цены на нефть продолжают падать, несмотря на заявления представителей ОПЕК о грядущем снижении нефтяным картелем экспортных квот на нефть. Цена нефти на лондонской бирже IPE к вечеру понедельника снизилась на $1,04 (-4,8%) и на 20.00 по московскому времени составила $20,50 за баррель. Нефть на нью-йоркской бирже NYMEX на этот час подешевела на 99 центов (-4,45%) до $21,23 за баррель.</w:t>
      </w:r>
      <w:r>
        <w:rPr>
          <w:lang w:val="en-US"/>
        </w:rPr>
        <w:t xml:space="preserve"> </w:t>
      </w:r>
      <w:r>
        <w:t>Как сообщалось ранее, 12 ноября Россия объявила о своем решении сократить объемы своего экспорта нефти на 30 тыс. баррелей в день. Ранее о своем намерении сократить поставки нефти на мировой рынок заявила ОПЕК. Как ожидается, на саммите этой организации, который пройдет 13 ноября в Вене, ОПЕК примет решении о сокращении экспорта нефти на 1-1,5 млн. баррелей в день.</w:t>
      </w:r>
    </w:p>
    <w:p w:rsidR="005C231A" w:rsidRDefault="005C231A">
      <w:pPr>
        <w:pStyle w:val="22"/>
        <w:spacing w:line="480" w:lineRule="auto"/>
        <w:ind w:firstLine="851"/>
      </w:pPr>
      <w:r>
        <w:t xml:space="preserve">В том, что ОПЕК настроена именно подобным образом, сомнений практически нет. Даже богатейшая из стран ОПЕК Саудовская Аравия, которая планировала получить в этом году бюджетный профицит в размере около $2 млрд., по самым последним оценкам, выходит на дефицит в $5 млрд. при почти нулевом экономическом росте. Что, конечно же, шейхов совершенно не устраивает. </w:t>
      </w:r>
    </w:p>
    <w:sectPr w:rsidR="005C231A">
      <w:footerReference w:type="even" r:id="rId8"/>
      <w:footerReference w:type="default" r:id="rId9"/>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231A" w:rsidRDefault="005C231A">
      <w:r>
        <w:separator/>
      </w:r>
    </w:p>
  </w:endnote>
  <w:endnote w:type="continuationSeparator" w:id="0">
    <w:p w:rsidR="005C231A" w:rsidRDefault="005C23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31A" w:rsidRDefault="005C231A">
    <w:pPr>
      <w:pStyle w:val="a6"/>
      <w:framePr w:wrap="around" w:vAnchor="text" w:hAnchor="margin" w:xAlign="center" w:y="1"/>
      <w:rPr>
        <w:rStyle w:val="a7"/>
      </w:rPr>
    </w:pPr>
  </w:p>
  <w:p w:rsidR="005C231A" w:rsidRDefault="005C231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31A" w:rsidRDefault="00406A76">
    <w:pPr>
      <w:pStyle w:val="a6"/>
      <w:framePr w:wrap="around" w:vAnchor="text" w:hAnchor="margin" w:xAlign="center" w:y="1"/>
      <w:rPr>
        <w:rStyle w:val="a7"/>
      </w:rPr>
    </w:pPr>
    <w:r>
      <w:rPr>
        <w:rStyle w:val="a7"/>
        <w:noProof/>
      </w:rPr>
      <w:t>2</w:t>
    </w:r>
  </w:p>
  <w:p w:rsidR="005C231A" w:rsidRDefault="005C231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231A" w:rsidRDefault="005C231A">
      <w:r>
        <w:separator/>
      </w:r>
    </w:p>
  </w:footnote>
  <w:footnote w:type="continuationSeparator" w:id="0">
    <w:p w:rsidR="005C231A" w:rsidRDefault="005C23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20D7C"/>
    <w:multiLevelType w:val="hybridMultilevel"/>
    <w:tmpl w:val="BC4C3C3E"/>
    <w:lvl w:ilvl="0" w:tplc="AF5037BA">
      <w:start w:val="1"/>
      <w:numFmt w:val="decimal"/>
      <w:lvlText w:val="%1)"/>
      <w:lvlJc w:val="left"/>
      <w:pPr>
        <w:tabs>
          <w:tab w:val="num" w:pos="1080"/>
        </w:tabs>
        <w:ind w:left="1080" w:hanging="360"/>
      </w:pPr>
    </w:lvl>
    <w:lvl w:ilvl="1" w:tplc="419A12B6" w:tentative="1">
      <w:start w:val="1"/>
      <w:numFmt w:val="bullet"/>
      <w:lvlText w:val="o"/>
      <w:lvlJc w:val="left"/>
      <w:pPr>
        <w:tabs>
          <w:tab w:val="num" w:pos="1800"/>
        </w:tabs>
        <w:ind w:left="1800" w:hanging="360"/>
      </w:pPr>
      <w:rPr>
        <w:rFonts w:ascii="Courier New" w:hAnsi="Courier New" w:hint="default"/>
      </w:rPr>
    </w:lvl>
    <w:lvl w:ilvl="2" w:tplc="50C64FD8" w:tentative="1">
      <w:start w:val="1"/>
      <w:numFmt w:val="bullet"/>
      <w:lvlText w:val=""/>
      <w:lvlJc w:val="left"/>
      <w:pPr>
        <w:tabs>
          <w:tab w:val="num" w:pos="2520"/>
        </w:tabs>
        <w:ind w:left="2520" w:hanging="360"/>
      </w:pPr>
      <w:rPr>
        <w:rFonts w:ascii="Wingdings" w:hAnsi="Wingdings" w:hint="default"/>
      </w:rPr>
    </w:lvl>
    <w:lvl w:ilvl="3" w:tplc="60D2D4D0" w:tentative="1">
      <w:start w:val="1"/>
      <w:numFmt w:val="bullet"/>
      <w:lvlText w:val=""/>
      <w:lvlJc w:val="left"/>
      <w:pPr>
        <w:tabs>
          <w:tab w:val="num" w:pos="3240"/>
        </w:tabs>
        <w:ind w:left="3240" w:hanging="360"/>
      </w:pPr>
      <w:rPr>
        <w:rFonts w:ascii="Symbol" w:hAnsi="Symbol" w:hint="default"/>
      </w:rPr>
    </w:lvl>
    <w:lvl w:ilvl="4" w:tplc="CE204C08" w:tentative="1">
      <w:start w:val="1"/>
      <w:numFmt w:val="bullet"/>
      <w:lvlText w:val="o"/>
      <w:lvlJc w:val="left"/>
      <w:pPr>
        <w:tabs>
          <w:tab w:val="num" w:pos="3960"/>
        </w:tabs>
        <w:ind w:left="3960" w:hanging="360"/>
      </w:pPr>
      <w:rPr>
        <w:rFonts w:ascii="Courier New" w:hAnsi="Courier New" w:hint="default"/>
      </w:rPr>
    </w:lvl>
    <w:lvl w:ilvl="5" w:tplc="6212BC54" w:tentative="1">
      <w:start w:val="1"/>
      <w:numFmt w:val="bullet"/>
      <w:lvlText w:val=""/>
      <w:lvlJc w:val="left"/>
      <w:pPr>
        <w:tabs>
          <w:tab w:val="num" w:pos="4680"/>
        </w:tabs>
        <w:ind w:left="4680" w:hanging="360"/>
      </w:pPr>
      <w:rPr>
        <w:rFonts w:ascii="Wingdings" w:hAnsi="Wingdings" w:hint="default"/>
      </w:rPr>
    </w:lvl>
    <w:lvl w:ilvl="6" w:tplc="8C5E7F48" w:tentative="1">
      <w:start w:val="1"/>
      <w:numFmt w:val="bullet"/>
      <w:lvlText w:val=""/>
      <w:lvlJc w:val="left"/>
      <w:pPr>
        <w:tabs>
          <w:tab w:val="num" w:pos="5400"/>
        </w:tabs>
        <w:ind w:left="5400" w:hanging="360"/>
      </w:pPr>
      <w:rPr>
        <w:rFonts w:ascii="Symbol" w:hAnsi="Symbol" w:hint="default"/>
      </w:rPr>
    </w:lvl>
    <w:lvl w:ilvl="7" w:tplc="87A0A606" w:tentative="1">
      <w:start w:val="1"/>
      <w:numFmt w:val="bullet"/>
      <w:lvlText w:val="o"/>
      <w:lvlJc w:val="left"/>
      <w:pPr>
        <w:tabs>
          <w:tab w:val="num" w:pos="6120"/>
        </w:tabs>
        <w:ind w:left="6120" w:hanging="360"/>
      </w:pPr>
      <w:rPr>
        <w:rFonts w:ascii="Courier New" w:hAnsi="Courier New" w:hint="default"/>
      </w:rPr>
    </w:lvl>
    <w:lvl w:ilvl="8" w:tplc="BE8CBC26" w:tentative="1">
      <w:start w:val="1"/>
      <w:numFmt w:val="bullet"/>
      <w:lvlText w:val=""/>
      <w:lvlJc w:val="left"/>
      <w:pPr>
        <w:tabs>
          <w:tab w:val="num" w:pos="6840"/>
        </w:tabs>
        <w:ind w:left="6840" w:hanging="360"/>
      </w:pPr>
      <w:rPr>
        <w:rFonts w:ascii="Wingdings" w:hAnsi="Wingdings" w:hint="default"/>
      </w:rPr>
    </w:lvl>
  </w:abstractNum>
  <w:abstractNum w:abstractNumId="1">
    <w:nsid w:val="191E4D3C"/>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1D771A72"/>
    <w:multiLevelType w:val="hybridMultilevel"/>
    <w:tmpl w:val="A17C789A"/>
    <w:lvl w:ilvl="0" w:tplc="A2344B46">
      <w:start w:val="1"/>
      <w:numFmt w:val="decimal"/>
      <w:lvlText w:val="%1."/>
      <w:lvlJc w:val="left"/>
      <w:pPr>
        <w:tabs>
          <w:tab w:val="num" w:pos="720"/>
        </w:tabs>
        <w:ind w:left="720" w:hanging="360"/>
      </w:pPr>
      <w:rPr>
        <w:rFonts w:hint="default"/>
      </w:rPr>
    </w:lvl>
    <w:lvl w:ilvl="1" w:tplc="239A57AE">
      <w:start w:val="1"/>
      <w:numFmt w:val="lowerLetter"/>
      <w:lvlText w:val="%2."/>
      <w:lvlJc w:val="left"/>
      <w:pPr>
        <w:tabs>
          <w:tab w:val="num" w:pos="1440"/>
        </w:tabs>
        <w:ind w:left="1440" w:hanging="360"/>
      </w:pPr>
    </w:lvl>
    <w:lvl w:ilvl="2" w:tplc="05DE7F38" w:tentative="1">
      <w:start w:val="1"/>
      <w:numFmt w:val="lowerRoman"/>
      <w:lvlText w:val="%3."/>
      <w:lvlJc w:val="right"/>
      <w:pPr>
        <w:tabs>
          <w:tab w:val="num" w:pos="2160"/>
        </w:tabs>
        <w:ind w:left="2160" w:hanging="180"/>
      </w:pPr>
    </w:lvl>
    <w:lvl w:ilvl="3" w:tplc="FB34A266" w:tentative="1">
      <w:start w:val="1"/>
      <w:numFmt w:val="decimal"/>
      <w:lvlText w:val="%4."/>
      <w:lvlJc w:val="left"/>
      <w:pPr>
        <w:tabs>
          <w:tab w:val="num" w:pos="2880"/>
        </w:tabs>
        <w:ind w:left="2880" w:hanging="360"/>
      </w:pPr>
    </w:lvl>
    <w:lvl w:ilvl="4" w:tplc="C37C01B8" w:tentative="1">
      <w:start w:val="1"/>
      <w:numFmt w:val="lowerLetter"/>
      <w:lvlText w:val="%5."/>
      <w:lvlJc w:val="left"/>
      <w:pPr>
        <w:tabs>
          <w:tab w:val="num" w:pos="3600"/>
        </w:tabs>
        <w:ind w:left="3600" w:hanging="360"/>
      </w:pPr>
    </w:lvl>
    <w:lvl w:ilvl="5" w:tplc="591622CA" w:tentative="1">
      <w:start w:val="1"/>
      <w:numFmt w:val="lowerRoman"/>
      <w:lvlText w:val="%6."/>
      <w:lvlJc w:val="right"/>
      <w:pPr>
        <w:tabs>
          <w:tab w:val="num" w:pos="4320"/>
        </w:tabs>
        <w:ind w:left="4320" w:hanging="180"/>
      </w:pPr>
    </w:lvl>
    <w:lvl w:ilvl="6" w:tplc="EC16A618" w:tentative="1">
      <w:start w:val="1"/>
      <w:numFmt w:val="decimal"/>
      <w:lvlText w:val="%7."/>
      <w:lvlJc w:val="left"/>
      <w:pPr>
        <w:tabs>
          <w:tab w:val="num" w:pos="5040"/>
        </w:tabs>
        <w:ind w:left="5040" w:hanging="360"/>
      </w:pPr>
    </w:lvl>
    <w:lvl w:ilvl="7" w:tplc="58C28D7A" w:tentative="1">
      <w:start w:val="1"/>
      <w:numFmt w:val="lowerLetter"/>
      <w:lvlText w:val="%8."/>
      <w:lvlJc w:val="left"/>
      <w:pPr>
        <w:tabs>
          <w:tab w:val="num" w:pos="5760"/>
        </w:tabs>
        <w:ind w:left="5760" w:hanging="360"/>
      </w:pPr>
    </w:lvl>
    <w:lvl w:ilvl="8" w:tplc="2E168C36" w:tentative="1">
      <w:start w:val="1"/>
      <w:numFmt w:val="lowerRoman"/>
      <w:lvlText w:val="%9."/>
      <w:lvlJc w:val="right"/>
      <w:pPr>
        <w:tabs>
          <w:tab w:val="num" w:pos="6480"/>
        </w:tabs>
        <w:ind w:left="6480" w:hanging="180"/>
      </w:pPr>
    </w:lvl>
  </w:abstractNum>
  <w:abstractNum w:abstractNumId="3">
    <w:nsid w:val="24F57586"/>
    <w:multiLevelType w:val="hybridMultilevel"/>
    <w:tmpl w:val="BC4C3C3E"/>
    <w:lvl w:ilvl="0" w:tplc="01601638">
      <w:start w:val="1"/>
      <w:numFmt w:val="bullet"/>
      <w:lvlText w:val=""/>
      <w:lvlJc w:val="left"/>
      <w:pPr>
        <w:tabs>
          <w:tab w:val="num" w:pos="720"/>
        </w:tabs>
        <w:ind w:left="720" w:hanging="360"/>
      </w:pPr>
      <w:rPr>
        <w:rFonts w:ascii="Symbol" w:hAnsi="Symbol" w:hint="default"/>
      </w:rPr>
    </w:lvl>
    <w:lvl w:ilvl="1" w:tplc="9F502814" w:tentative="1">
      <w:start w:val="1"/>
      <w:numFmt w:val="bullet"/>
      <w:lvlText w:val="o"/>
      <w:lvlJc w:val="left"/>
      <w:pPr>
        <w:tabs>
          <w:tab w:val="num" w:pos="1440"/>
        </w:tabs>
        <w:ind w:left="1440" w:hanging="360"/>
      </w:pPr>
      <w:rPr>
        <w:rFonts w:ascii="Courier New" w:hAnsi="Courier New" w:hint="default"/>
      </w:rPr>
    </w:lvl>
    <w:lvl w:ilvl="2" w:tplc="0144CE70" w:tentative="1">
      <w:start w:val="1"/>
      <w:numFmt w:val="bullet"/>
      <w:lvlText w:val=""/>
      <w:lvlJc w:val="left"/>
      <w:pPr>
        <w:tabs>
          <w:tab w:val="num" w:pos="2160"/>
        </w:tabs>
        <w:ind w:left="2160" w:hanging="360"/>
      </w:pPr>
      <w:rPr>
        <w:rFonts w:ascii="Wingdings" w:hAnsi="Wingdings" w:hint="default"/>
      </w:rPr>
    </w:lvl>
    <w:lvl w:ilvl="3" w:tplc="51522508" w:tentative="1">
      <w:start w:val="1"/>
      <w:numFmt w:val="bullet"/>
      <w:lvlText w:val=""/>
      <w:lvlJc w:val="left"/>
      <w:pPr>
        <w:tabs>
          <w:tab w:val="num" w:pos="2880"/>
        </w:tabs>
        <w:ind w:left="2880" w:hanging="360"/>
      </w:pPr>
      <w:rPr>
        <w:rFonts w:ascii="Symbol" w:hAnsi="Symbol" w:hint="default"/>
      </w:rPr>
    </w:lvl>
    <w:lvl w:ilvl="4" w:tplc="0C36B1DC" w:tentative="1">
      <w:start w:val="1"/>
      <w:numFmt w:val="bullet"/>
      <w:lvlText w:val="o"/>
      <w:lvlJc w:val="left"/>
      <w:pPr>
        <w:tabs>
          <w:tab w:val="num" w:pos="3600"/>
        </w:tabs>
        <w:ind w:left="3600" w:hanging="360"/>
      </w:pPr>
      <w:rPr>
        <w:rFonts w:ascii="Courier New" w:hAnsi="Courier New" w:hint="default"/>
      </w:rPr>
    </w:lvl>
    <w:lvl w:ilvl="5" w:tplc="C2A8215A" w:tentative="1">
      <w:start w:val="1"/>
      <w:numFmt w:val="bullet"/>
      <w:lvlText w:val=""/>
      <w:lvlJc w:val="left"/>
      <w:pPr>
        <w:tabs>
          <w:tab w:val="num" w:pos="4320"/>
        </w:tabs>
        <w:ind w:left="4320" w:hanging="360"/>
      </w:pPr>
      <w:rPr>
        <w:rFonts w:ascii="Wingdings" w:hAnsi="Wingdings" w:hint="default"/>
      </w:rPr>
    </w:lvl>
    <w:lvl w:ilvl="6" w:tplc="F6EA2B1E" w:tentative="1">
      <w:start w:val="1"/>
      <w:numFmt w:val="bullet"/>
      <w:lvlText w:val=""/>
      <w:lvlJc w:val="left"/>
      <w:pPr>
        <w:tabs>
          <w:tab w:val="num" w:pos="5040"/>
        </w:tabs>
        <w:ind w:left="5040" w:hanging="360"/>
      </w:pPr>
      <w:rPr>
        <w:rFonts w:ascii="Symbol" w:hAnsi="Symbol" w:hint="default"/>
      </w:rPr>
    </w:lvl>
    <w:lvl w:ilvl="7" w:tplc="A95E29AC" w:tentative="1">
      <w:start w:val="1"/>
      <w:numFmt w:val="bullet"/>
      <w:lvlText w:val="o"/>
      <w:lvlJc w:val="left"/>
      <w:pPr>
        <w:tabs>
          <w:tab w:val="num" w:pos="5760"/>
        </w:tabs>
        <w:ind w:left="5760" w:hanging="360"/>
      </w:pPr>
      <w:rPr>
        <w:rFonts w:ascii="Courier New" w:hAnsi="Courier New" w:hint="default"/>
      </w:rPr>
    </w:lvl>
    <w:lvl w:ilvl="8" w:tplc="2AB27942" w:tentative="1">
      <w:start w:val="1"/>
      <w:numFmt w:val="bullet"/>
      <w:lvlText w:val=""/>
      <w:lvlJc w:val="left"/>
      <w:pPr>
        <w:tabs>
          <w:tab w:val="num" w:pos="6480"/>
        </w:tabs>
        <w:ind w:left="6480" w:hanging="360"/>
      </w:pPr>
      <w:rPr>
        <w:rFonts w:ascii="Wingdings" w:hAnsi="Wingdings" w:hint="default"/>
      </w:rPr>
    </w:lvl>
  </w:abstractNum>
  <w:abstractNum w:abstractNumId="4">
    <w:nsid w:val="2BAE697E"/>
    <w:multiLevelType w:val="singleLevel"/>
    <w:tmpl w:val="0419000F"/>
    <w:lvl w:ilvl="0">
      <w:start w:val="1"/>
      <w:numFmt w:val="decimal"/>
      <w:lvlText w:val="%1."/>
      <w:lvlJc w:val="left"/>
      <w:pPr>
        <w:tabs>
          <w:tab w:val="num" w:pos="360"/>
        </w:tabs>
        <w:ind w:left="360" w:hanging="360"/>
      </w:pPr>
    </w:lvl>
  </w:abstractNum>
  <w:abstractNum w:abstractNumId="5">
    <w:nsid w:val="3F06190C"/>
    <w:multiLevelType w:val="hybridMultilevel"/>
    <w:tmpl w:val="8E1EAD92"/>
    <w:lvl w:ilvl="0" w:tplc="235CE7D6">
      <w:start w:val="5"/>
      <w:numFmt w:val="decimal"/>
      <w:lvlText w:val="%1."/>
      <w:lvlJc w:val="left"/>
      <w:pPr>
        <w:tabs>
          <w:tab w:val="num" w:pos="720"/>
        </w:tabs>
        <w:ind w:left="720" w:hanging="360"/>
      </w:pPr>
      <w:rPr>
        <w:rFonts w:hint="default"/>
      </w:rPr>
    </w:lvl>
    <w:lvl w:ilvl="1" w:tplc="97A07D64" w:tentative="1">
      <w:start w:val="1"/>
      <w:numFmt w:val="lowerLetter"/>
      <w:lvlText w:val="%2."/>
      <w:lvlJc w:val="left"/>
      <w:pPr>
        <w:tabs>
          <w:tab w:val="num" w:pos="1440"/>
        </w:tabs>
        <w:ind w:left="1440" w:hanging="360"/>
      </w:pPr>
    </w:lvl>
    <w:lvl w:ilvl="2" w:tplc="0B1451A6" w:tentative="1">
      <w:start w:val="1"/>
      <w:numFmt w:val="lowerRoman"/>
      <w:lvlText w:val="%3."/>
      <w:lvlJc w:val="right"/>
      <w:pPr>
        <w:tabs>
          <w:tab w:val="num" w:pos="2160"/>
        </w:tabs>
        <w:ind w:left="2160" w:hanging="180"/>
      </w:pPr>
    </w:lvl>
    <w:lvl w:ilvl="3" w:tplc="B3BCDC18" w:tentative="1">
      <w:start w:val="1"/>
      <w:numFmt w:val="decimal"/>
      <w:lvlText w:val="%4."/>
      <w:lvlJc w:val="left"/>
      <w:pPr>
        <w:tabs>
          <w:tab w:val="num" w:pos="2880"/>
        </w:tabs>
        <w:ind w:left="2880" w:hanging="360"/>
      </w:pPr>
    </w:lvl>
    <w:lvl w:ilvl="4" w:tplc="39725AD0" w:tentative="1">
      <w:start w:val="1"/>
      <w:numFmt w:val="lowerLetter"/>
      <w:lvlText w:val="%5."/>
      <w:lvlJc w:val="left"/>
      <w:pPr>
        <w:tabs>
          <w:tab w:val="num" w:pos="3600"/>
        </w:tabs>
        <w:ind w:left="3600" w:hanging="360"/>
      </w:pPr>
    </w:lvl>
    <w:lvl w:ilvl="5" w:tplc="6240CA64" w:tentative="1">
      <w:start w:val="1"/>
      <w:numFmt w:val="lowerRoman"/>
      <w:lvlText w:val="%6."/>
      <w:lvlJc w:val="right"/>
      <w:pPr>
        <w:tabs>
          <w:tab w:val="num" w:pos="4320"/>
        </w:tabs>
        <w:ind w:left="4320" w:hanging="180"/>
      </w:pPr>
    </w:lvl>
    <w:lvl w:ilvl="6" w:tplc="189C710C" w:tentative="1">
      <w:start w:val="1"/>
      <w:numFmt w:val="decimal"/>
      <w:lvlText w:val="%7."/>
      <w:lvlJc w:val="left"/>
      <w:pPr>
        <w:tabs>
          <w:tab w:val="num" w:pos="5040"/>
        </w:tabs>
        <w:ind w:left="5040" w:hanging="360"/>
      </w:pPr>
    </w:lvl>
    <w:lvl w:ilvl="7" w:tplc="3DA66FEA" w:tentative="1">
      <w:start w:val="1"/>
      <w:numFmt w:val="lowerLetter"/>
      <w:lvlText w:val="%8."/>
      <w:lvlJc w:val="left"/>
      <w:pPr>
        <w:tabs>
          <w:tab w:val="num" w:pos="5760"/>
        </w:tabs>
        <w:ind w:left="5760" w:hanging="360"/>
      </w:pPr>
    </w:lvl>
    <w:lvl w:ilvl="8" w:tplc="EB98E84E" w:tentative="1">
      <w:start w:val="1"/>
      <w:numFmt w:val="lowerRoman"/>
      <w:lvlText w:val="%9."/>
      <w:lvlJc w:val="right"/>
      <w:pPr>
        <w:tabs>
          <w:tab w:val="num" w:pos="6480"/>
        </w:tabs>
        <w:ind w:left="6480" w:hanging="180"/>
      </w:pPr>
    </w:lvl>
  </w:abstractNum>
  <w:num w:numId="1">
    <w:abstractNumId w:val="2"/>
  </w:num>
  <w:num w:numId="2">
    <w:abstractNumId w:val="3"/>
  </w:num>
  <w:num w:numId="3">
    <w:abstractNumId w:val="5"/>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6A76"/>
    <w:rsid w:val="00406A76"/>
    <w:rsid w:val="005B1428"/>
    <w:rsid w:val="005C231A"/>
    <w:rsid w:val="00620ADF"/>
    <w:rsid w:val="00A53F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autoRedefine/>
    <w:qFormat/>
    <w:pPr>
      <w:keepNext/>
      <w:spacing w:before="240" w:after="60" w:line="480" w:lineRule="auto"/>
      <w:outlineLvl w:val="0"/>
    </w:pPr>
    <w:rPr>
      <w:rFonts w:ascii="Arial" w:hAnsi="Arial"/>
      <w:b/>
      <w:kern w:val="32"/>
      <w:sz w:val="24"/>
    </w:rPr>
  </w:style>
  <w:style w:type="paragraph" w:styleId="2">
    <w:name w:val="heading 2"/>
    <w:basedOn w:val="a"/>
    <w:next w:val="a"/>
    <w:autoRedefine/>
    <w:qFormat/>
    <w:pPr>
      <w:keepNext/>
      <w:spacing w:before="240" w:after="60"/>
      <w:outlineLvl w:val="1"/>
    </w:pPr>
    <w:rPr>
      <w:rFonts w:ascii="Arial" w:hAnsi="Arial" w:cs="Arial"/>
      <w:i/>
      <w:iCs/>
      <w:sz w:val="28"/>
      <w:szCs w:val="28"/>
    </w:rPr>
  </w:style>
  <w:style w:type="paragraph" w:styleId="3">
    <w:name w:val="heading 3"/>
    <w:basedOn w:val="a"/>
    <w:next w:val="a"/>
    <w:qFormat/>
    <w:pPr>
      <w:keepNext/>
      <w:ind w:firstLine="851"/>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278"/>
    </w:pPr>
    <w:rPr>
      <w:snapToGrid w:val="0"/>
      <w:sz w:val="28"/>
    </w:rPr>
  </w:style>
  <w:style w:type="paragraph" w:styleId="20">
    <w:name w:val="Body Text Indent 2"/>
    <w:basedOn w:val="a"/>
    <w:semiHidden/>
    <w:pPr>
      <w:ind w:firstLine="851"/>
    </w:pPr>
    <w:rPr>
      <w:snapToGrid w:val="0"/>
      <w:sz w:val="28"/>
    </w:rPr>
  </w:style>
  <w:style w:type="paragraph" w:styleId="a4">
    <w:name w:val="Body Text"/>
    <w:basedOn w:val="a"/>
    <w:semiHidden/>
    <w:rPr>
      <w:sz w:val="28"/>
    </w:rPr>
  </w:style>
  <w:style w:type="paragraph" w:styleId="a5">
    <w:name w:val="header"/>
    <w:basedOn w:val="a"/>
    <w:semiHidden/>
    <w:pPr>
      <w:tabs>
        <w:tab w:val="center" w:pos="4677"/>
        <w:tab w:val="right" w:pos="9355"/>
      </w:tabs>
    </w:p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10">
    <w:name w:val="toc 1"/>
    <w:basedOn w:val="a"/>
    <w:next w:val="a"/>
    <w:autoRedefine/>
    <w:semiHidden/>
  </w:style>
  <w:style w:type="paragraph" w:styleId="21">
    <w:name w:val="toc 2"/>
    <w:basedOn w:val="a"/>
    <w:next w:val="a"/>
    <w:autoRedefine/>
    <w:semiHidden/>
    <w:pPr>
      <w:ind w:left="200"/>
    </w:pPr>
  </w:style>
  <w:style w:type="paragraph" w:styleId="30">
    <w:name w:val="toc 3"/>
    <w:basedOn w:val="a"/>
    <w:next w:val="a"/>
    <w:autoRedefine/>
    <w:semiHidden/>
    <w:pPr>
      <w:ind w:left="400"/>
    </w:pPr>
  </w:style>
  <w:style w:type="paragraph" w:styleId="4">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31">
    <w:name w:val="Body Text Indent 3"/>
    <w:basedOn w:val="a"/>
    <w:semiHidden/>
    <w:pPr>
      <w:spacing w:line="480" w:lineRule="auto"/>
      <w:ind w:firstLine="851"/>
    </w:pPr>
    <w:rPr>
      <w:sz w:val="24"/>
    </w:rPr>
  </w:style>
  <w:style w:type="paragraph" w:styleId="22">
    <w:name w:val="Body Text 2"/>
    <w:basedOn w:val="a"/>
    <w:semiHidden/>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4918</Words>
  <Characters>32598</Characters>
  <Application>Microsoft Office Word</Application>
  <DocSecurity>0</DocSecurity>
  <Lines>587</Lines>
  <Paragraphs>92</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37515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cp:lastPrinted>2001-11-13T19:28:00Z</cp:lastPrinted>
  <dcterms:created xsi:type="dcterms:W3CDTF">2016-12-19T04:56:00Z</dcterms:created>
  <dcterms:modified xsi:type="dcterms:W3CDTF">2016-12-19T04:56:00Z</dcterms:modified>
</cp:coreProperties>
</file>