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04A4" w:rsidRDefault="00DA04A4">
      <w:pPr>
        <w:pStyle w:val="a7"/>
      </w:pPr>
      <w:bookmarkStart w:id="0" w:name="_GoBack"/>
      <w:bookmarkEnd w:id="0"/>
      <w:r>
        <w:t>МИНИСТЕРСТВО ОБЩЕГО И ПРОФЕССИОНАЛЬНОГО ОБРАЗОВАНИЯ РФ</w:t>
      </w:r>
    </w:p>
    <w:p w:rsidR="00DA04A4" w:rsidRDefault="00DA04A4">
      <w:pPr>
        <w:spacing w:line="360" w:lineRule="auto"/>
        <w:jc w:val="center"/>
        <w:rPr>
          <w:rFonts w:ascii="Courier New" w:hAnsi="Courier New"/>
          <w:b/>
          <w:sz w:val="24"/>
        </w:rPr>
      </w:pPr>
      <w:r>
        <w:rPr>
          <w:rFonts w:ascii="Courier New" w:hAnsi="Courier New"/>
          <w:b/>
          <w:sz w:val="24"/>
        </w:rPr>
        <w:t>РОСТОВСКАЯ ГОСУДАРСТВЕННАЯ ЭКОНОМИЧЕСКАЯ АКАДЕМИЯ</w:t>
      </w:r>
    </w:p>
    <w:p w:rsidR="00DA04A4" w:rsidRDefault="00DA04A4">
      <w:pPr>
        <w:spacing w:line="360" w:lineRule="auto"/>
        <w:jc w:val="center"/>
        <w:rPr>
          <w:rFonts w:ascii="Courier New" w:hAnsi="Courier New"/>
          <w:sz w:val="24"/>
        </w:rPr>
      </w:pPr>
    </w:p>
    <w:p w:rsidR="00DA04A4" w:rsidRDefault="00DA04A4">
      <w:pPr>
        <w:pStyle w:val="3"/>
      </w:pPr>
      <w:r>
        <w:t>Кафедра: «экономики и природопользования»</w:t>
      </w: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b/>
          <w:sz w:val="40"/>
        </w:rPr>
      </w:pPr>
      <w:r>
        <w:rPr>
          <w:rFonts w:ascii="Courier New" w:hAnsi="Courier New"/>
          <w:b/>
          <w:sz w:val="40"/>
        </w:rPr>
        <w:t>К У Р С О В А Я   Р А Б О Т А</w:t>
      </w:r>
    </w:p>
    <w:p w:rsidR="00DA04A4" w:rsidRDefault="00DA04A4">
      <w:pPr>
        <w:spacing w:line="360" w:lineRule="auto"/>
        <w:jc w:val="center"/>
        <w:rPr>
          <w:rFonts w:ascii="Courier New" w:hAnsi="Courier New"/>
          <w:b/>
          <w:sz w:val="28"/>
        </w:rPr>
      </w:pPr>
    </w:p>
    <w:p w:rsidR="00DA04A4" w:rsidRDefault="00DA04A4">
      <w:pPr>
        <w:spacing w:line="360" w:lineRule="auto"/>
        <w:jc w:val="center"/>
        <w:rPr>
          <w:rFonts w:ascii="Courier New" w:hAnsi="Courier New"/>
          <w:b/>
          <w:sz w:val="28"/>
        </w:rPr>
      </w:pPr>
      <w:r>
        <w:rPr>
          <w:rFonts w:ascii="Courier New" w:hAnsi="Courier New"/>
          <w:b/>
          <w:sz w:val="28"/>
        </w:rPr>
        <w:t>Тема:</w:t>
      </w: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b/>
          <w:sz w:val="28"/>
        </w:rPr>
      </w:pPr>
      <w:r>
        <w:rPr>
          <w:rFonts w:ascii="Courier New" w:hAnsi="Courier New"/>
          <w:b/>
          <w:sz w:val="36"/>
        </w:rPr>
        <w:t xml:space="preserve"> "</w:t>
      </w:r>
      <w:r>
        <w:rPr>
          <w:rFonts w:ascii="Courier New" w:hAnsi="Courier New"/>
          <w:sz w:val="24"/>
        </w:rPr>
        <w:t xml:space="preserve"> </w:t>
      </w:r>
      <w:r>
        <w:rPr>
          <w:rFonts w:ascii="Courier New" w:hAnsi="Courier New"/>
          <w:b/>
          <w:sz w:val="32"/>
        </w:rPr>
        <w:t>Экономико-географическое обоснование размещение предприятий цветной м</w:t>
      </w:r>
      <w:r>
        <w:rPr>
          <w:rFonts w:ascii="Courier New" w:hAnsi="Courier New"/>
          <w:b/>
          <w:sz w:val="32"/>
        </w:rPr>
        <w:t>е</w:t>
      </w:r>
      <w:r>
        <w:rPr>
          <w:rFonts w:ascii="Courier New" w:hAnsi="Courier New"/>
          <w:b/>
          <w:sz w:val="32"/>
        </w:rPr>
        <w:t>таллургии</w:t>
      </w:r>
      <w:r>
        <w:rPr>
          <w:rFonts w:ascii="Courier New" w:hAnsi="Courier New"/>
          <w:b/>
          <w:sz w:val="36"/>
        </w:rPr>
        <w:t>"</w:t>
      </w:r>
      <w:r>
        <w:rPr>
          <w:rFonts w:ascii="Courier New" w:hAnsi="Courier New"/>
          <w:b/>
          <w:sz w:val="32"/>
        </w:rPr>
        <w:t>.</w:t>
      </w:r>
      <w:r>
        <w:rPr>
          <w:rFonts w:ascii="Courier New" w:hAnsi="Courier New"/>
          <w:b/>
          <w:sz w:val="36"/>
        </w:rPr>
        <w:t xml:space="preserve"> </w:t>
      </w: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sz w:val="24"/>
        </w:rPr>
      </w:pPr>
    </w:p>
    <w:p w:rsidR="00DA04A4" w:rsidRDefault="00DA04A4">
      <w:pPr>
        <w:spacing w:line="360" w:lineRule="auto"/>
        <w:jc w:val="both"/>
        <w:rPr>
          <w:rFonts w:ascii="Courier New" w:hAnsi="Courier New"/>
          <w:b/>
          <w:sz w:val="24"/>
        </w:rPr>
      </w:pPr>
      <w:r>
        <w:rPr>
          <w:rFonts w:ascii="Courier New" w:hAnsi="Courier New"/>
          <w:sz w:val="24"/>
        </w:rPr>
        <w:t xml:space="preserve">                            </w:t>
      </w:r>
      <w:r>
        <w:rPr>
          <w:rFonts w:ascii="Courier New" w:hAnsi="Courier New"/>
          <w:b/>
          <w:sz w:val="24"/>
        </w:rPr>
        <w:t>Выполнил:     студентка 1 курса</w:t>
      </w:r>
    </w:p>
    <w:p w:rsidR="00DA04A4" w:rsidRDefault="00DA04A4">
      <w:pPr>
        <w:spacing w:line="360" w:lineRule="auto"/>
        <w:jc w:val="both"/>
        <w:rPr>
          <w:rFonts w:ascii="Courier New" w:hAnsi="Courier New"/>
          <w:b/>
          <w:sz w:val="24"/>
        </w:rPr>
      </w:pPr>
      <w:r>
        <w:rPr>
          <w:rFonts w:ascii="Courier New" w:hAnsi="Courier New"/>
          <w:b/>
          <w:sz w:val="24"/>
        </w:rPr>
        <w:t xml:space="preserve">                                          ННиНЭ</w:t>
      </w:r>
    </w:p>
    <w:p w:rsidR="00DA04A4" w:rsidRDefault="00DA04A4">
      <w:pPr>
        <w:spacing w:line="360" w:lineRule="auto"/>
        <w:jc w:val="both"/>
        <w:rPr>
          <w:rFonts w:ascii="Courier New" w:hAnsi="Courier New"/>
          <w:b/>
          <w:sz w:val="24"/>
        </w:rPr>
      </w:pPr>
      <w:r>
        <w:rPr>
          <w:rFonts w:ascii="Courier New" w:hAnsi="Courier New"/>
          <w:b/>
          <w:sz w:val="24"/>
        </w:rPr>
        <w:t xml:space="preserve">                                          Гр.122</w:t>
      </w:r>
    </w:p>
    <w:p w:rsidR="00DA04A4" w:rsidRDefault="00DA04A4">
      <w:pPr>
        <w:spacing w:line="360" w:lineRule="auto"/>
        <w:jc w:val="both"/>
        <w:rPr>
          <w:rFonts w:ascii="Courier New" w:hAnsi="Courier New"/>
          <w:b/>
          <w:sz w:val="24"/>
        </w:rPr>
      </w:pPr>
      <w:r>
        <w:rPr>
          <w:rFonts w:ascii="Courier New" w:hAnsi="Courier New"/>
          <w:b/>
          <w:sz w:val="24"/>
        </w:rPr>
        <w:t xml:space="preserve">                                          Коноваленко А.И.</w:t>
      </w:r>
    </w:p>
    <w:p w:rsidR="00DA04A4" w:rsidRDefault="00DA04A4">
      <w:pPr>
        <w:spacing w:line="360" w:lineRule="auto"/>
        <w:jc w:val="both"/>
        <w:rPr>
          <w:rFonts w:ascii="Courier New" w:hAnsi="Courier New"/>
          <w:b/>
          <w:sz w:val="24"/>
        </w:rPr>
      </w:pPr>
    </w:p>
    <w:p w:rsidR="00DA04A4" w:rsidRDefault="00DA04A4">
      <w:pPr>
        <w:spacing w:line="360" w:lineRule="auto"/>
        <w:jc w:val="both"/>
        <w:rPr>
          <w:rFonts w:ascii="Courier New" w:hAnsi="Courier New"/>
          <w:b/>
          <w:sz w:val="24"/>
        </w:rPr>
      </w:pPr>
      <w:r>
        <w:rPr>
          <w:rFonts w:ascii="Courier New" w:hAnsi="Courier New"/>
          <w:b/>
          <w:sz w:val="24"/>
        </w:rPr>
        <w:t xml:space="preserve">                            Проверил:     Житников В.Г.</w:t>
      </w:r>
    </w:p>
    <w:p w:rsidR="00DA04A4" w:rsidRDefault="00DA04A4">
      <w:pPr>
        <w:spacing w:line="360" w:lineRule="auto"/>
        <w:jc w:val="both"/>
        <w:rPr>
          <w:rFonts w:ascii="Courier New" w:hAnsi="Courier New"/>
          <w:b/>
          <w:sz w:val="24"/>
        </w:rPr>
      </w:pPr>
    </w:p>
    <w:p w:rsidR="00DA04A4" w:rsidRDefault="00DA04A4">
      <w:pPr>
        <w:spacing w:line="360" w:lineRule="auto"/>
        <w:jc w:val="both"/>
        <w:rPr>
          <w:rFonts w:ascii="Courier New" w:hAnsi="Courier New"/>
          <w:b/>
          <w:sz w:val="24"/>
        </w:rPr>
      </w:pPr>
      <w:r>
        <w:rPr>
          <w:rFonts w:ascii="Courier New" w:hAnsi="Courier New"/>
          <w:b/>
          <w:sz w:val="24"/>
        </w:rPr>
        <w:t xml:space="preserve">                            </w:t>
      </w: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sz w:val="24"/>
        </w:rPr>
      </w:pPr>
    </w:p>
    <w:p w:rsidR="00DA04A4" w:rsidRDefault="00DA04A4">
      <w:pPr>
        <w:spacing w:line="360" w:lineRule="auto"/>
        <w:jc w:val="center"/>
        <w:rPr>
          <w:rFonts w:ascii="Courier New" w:hAnsi="Courier New"/>
          <w:b/>
          <w:sz w:val="24"/>
        </w:rPr>
      </w:pPr>
    </w:p>
    <w:p w:rsidR="00DA04A4" w:rsidRDefault="00DA04A4">
      <w:pPr>
        <w:spacing w:line="360" w:lineRule="auto"/>
        <w:jc w:val="center"/>
        <w:rPr>
          <w:rFonts w:ascii="Courier New" w:hAnsi="Courier New"/>
          <w:sz w:val="28"/>
        </w:rPr>
      </w:pPr>
      <w:r>
        <w:rPr>
          <w:rFonts w:ascii="Courier New" w:hAnsi="Courier New"/>
          <w:b/>
          <w:sz w:val="24"/>
        </w:rPr>
        <w:t>Ростов-на-Дону, 1998</w:t>
      </w:r>
    </w:p>
    <w:p w:rsidR="00DA04A4" w:rsidRDefault="00DA04A4">
      <w:pPr>
        <w:pStyle w:val="-2"/>
        <w:jc w:val="center"/>
        <w:rPr>
          <w:b/>
          <w:snapToGrid w:val="0"/>
          <w:sz w:val="32"/>
          <w:lang w:val="ru-RU"/>
        </w:rPr>
      </w:pPr>
      <w:r>
        <w:rPr>
          <w:b/>
          <w:snapToGrid w:val="0"/>
          <w:sz w:val="32"/>
        </w:rPr>
        <w:t>Содержание.</w:t>
      </w:r>
    </w:p>
    <w:p w:rsidR="00DA04A4" w:rsidRDefault="00DA04A4">
      <w:pPr>
        <w:pStyle w:val="10"/>
        <w:tabs>
          <w:tab w:val="right" w:leader="dot" w:pos="9629"/>
        </w:tabs>
        <w:spacing w:line="480" w:lineRule="auto"/>
        <w:rPr>
          <w:noProof/>
          <w:sz w:val="28"/>
        </w:rPr>
      </w:pPr>
      <w:r>
        <w:rPr>
          <w:noProof/>
          <w:snapToGrid w:val="0"/>
          <w:sz w:val="28"/>
        </w:rPr>
        <w:t>Введение.</w:t>
      </w:r>
      <w:r>
        <w:rPr>
          <w:noProof/>
          <w:sz w:val="28"/>
        </w:rPr>
        <w:tab/>
        <w:t>3</w:t>
      </w:r>
    </w:p>
    <w:p w:rsidR="00DA04A4" w:rsidRDefault="00DA04A4">
      <w:pPr>
        <w:pStyle w:val="20"/>
        <w:tabs>
          <w:tab w:val="left" w:pos="600"/>
          <w:tab w:val="right" w:leader="dot" w:pos="9629"/>
        </w:tabs>
        <w:spacing w:line="480" w:lineRule="auto"/>
        <w:rPr>
          <w:noProof/>
          <w:sz w:val="28"/>
        </w:rPr>
      </w:pPr>
      <w:r>
        <w:rPr>
          <w:noProof/>
          <w:snapToGrid w:val="0"/>
          <w:sz w:val="28"/>
        </w:rPr>
        <w:t>1</w:t>
      </w:r>
      <w:r>
        <w:rPr>
          <w:noProof/>
          <w:sz w:val="28"/>
        </w:rPr>
        <w:tab/>
      </w:r>
      <w:r>
        <w:rPr>
          <w:noProof/>
          <w:snapToGrid w:val="0"/>
          <w:sz w:val="28"/>
        </w:rPr>
        <w:t>Экономико-географические особенности размещение производства.</w:t>
      </w:r>
      <w:r>
        <w:rPr>
          <w:noProof/>
          <w:sz w:val="28"/>
        </w:rPr>
        <w:tab/>
        <w:t>4</w:t>
      </w:r>
    </w:p>
    <w:p w:rsidR="00DA04A4" w:rsidRDefault="00DA04A4">
      <w:pPr>
        <w:pStyle w:val="30"/>
        <w:tabs>
          <w:tab w:val="left" w:pos="1000"/>
          <w:tab w:val="right" w:leader="dot" w:pos="9629"/>
        </w:tabs>
        <w:spacing w:line="480" w:lineRule="auto"/>
        <w:rPr>
          <w:noProof/>
          <w:sz w:val="28"/>
        </w:rPr>
      </w:pPr>
      <w:r>
        <w:rPr>
          <w:noProof/>
          <w:snapToGrid w:val="0"/>
          <w:sz w:val="28"/>
        </w:rPr>
        <w:t>1.1</w:t>
      </w:r>
      <w:r>
        <w:rPr>
          <w:noProof/>
          <w:sz w:val="28"/>
        </w:rPr>
        <w:tab/>
      </w:r>
      <w:r>
        <w:rPr>
          <w:noProof/>
          <w:snapToGrid w:val="0"/>
          <w:sz w:val="28"/>
        </w:rPr>
        <w:t>Размещение производства в советской экономике.</w:t>
      </w:r>
      <w:r>
        <w:rPr>
          <w:noProof/>
          <w:sz w:val="28"/>
        </w:rPr>
        <w:tab/>
        <w:t>4</w:t>
      </w:r>
    </w:p>
    <w:p w:rsidR="00DA04A4" w:rsidRDefault="00DA04A4">
      <w:pPr>
        <w:pStyle w:val="30"/>
        <w:tabs>
          <w:tab w:val="left" w:pos="1000"/>
          <w:tab w:val="right" w:leader="dot" w:pos="9629"/>
        </w:tabs>
        <w:spacing w:line="480" w:lineRule="auto"/>
        <w:rPr>
          <w:noProof/>
          <w:sz w:val="28"/>
        </w:rPr>
      </w:pPr>
      <w:r>
        <w:rPr>
          <w:noProof/>
          <w:snapToGrid w:val="0"/>
          <w:sz w:val="28"/>
        </w:rPr>
        <w:t>1.2</w:t>
      </w:r>
      <w:r>
        <w:rPr>
          <w:noProof/>
          <w:sz w:val="28"/>
        </w:rPr>
        <w:tab/>
      </w:r>
      <w:r>
        <w:rPr>
          <w:noProof/>
          <w:snapToGrid w:val="0"/>
          <w:sz w:val="28"/>
        </w:rPr>
        <w:t>Размещение производства в переходной экономике России</w:t>
      </w:r>
      <w:r>
        <w:rPr>
          <w:noProof/>
          <w:sz w:val="28"/>
        </w:rPr>
        <w:tab/>
        <w:t>10</w:t>
      </w:r>
    </w:p>
    <w:p w:rsidR="00DA04A4" w:rsidRDefault="00DA04A4">
      <w:pPr>
        <w:pStyle w:val="20"/>
        <w:tabs>
          <w:tab w:val="left" w:pos="600"/>
          <w:tab w:val="right" w:leader="dot" w:pos="9629"/>
        </w:tabs>
        <w:spacing w:line="480" w:lineRule="auto"/>
        <w:rPr>
          <w:noProof/>
          <w:sz w:val="28"/>
        </w:rPr>
      </w:pPr>
      <w:r>
        <w:rPr>
          <w:noProof/>
          <w:snapToGrid w:val="0"/>
          <w:sz w:val="28"/>
        </w:rPr>
        <w:t>2</w:t>
      </w:r>
      <w:r>
        <w:rPr>
          <w:noProof/>
          <w:sz w:val="28"/>
        </w:rPr>
        <w:tab/>
      </w:r>
      <w:r>
        <w:rPr>
          <w:noProof/>
          <w:snapToGrid w:val="0"/>
          <w:sz w:val="28"/>
        </w:rPr>
        <w:t>Размещение цветной металлургии.</w:t>
      </w:r>
      <w:r>
        <w:rPr>
          <w:noProof/>
          <w:sz w:val="28"/>
        </w:rPr>
        <w:tab/>
        <w:t>13</w:t>
      </w:r>
    </w:p>
    <w:p w:rsidR="00DA04A4" w:rsidRDefault="00DA04A4">
      <w:pPr>
        <w:pStyle w:val="30"/>
        <w:tabs>
          <w:tab w:val="left" w:pos="1000"/>
          <w:tab w:val="right" w:leader="dot" w:pos="9629"/>
        </w:tabs>
        <w:spacing w:line="480" w:lineRule="auto"/>
        <w:rPr>
          <w:noProof/>
          <w:sz w:val="28"/>
        </w:rPr>
      </w:pPr>
      <w:r>
        <w:rPr>
          <w:noProof/>
          <w:snapToGrid w:val="0"/>
          <w:sz w:val="28"/>
        </w:rPr>
        <w:t>2.1</w:t>
      </w:r>
      <w:r>
        <w:rPr>
          <w:noProof/>
          <w:sz w:val="28"/>
        </w:rPr>
        <w:tab/>
      </w:r>
      <w:r>
        <w:rPr>
          <w:noProof/>
          <w:snapToGrid w:val="0"/>
          <w:sz w:val="28"/>
        </w:rPr>
        <w:t>Алюминиевая промышленность.</w:t>
      </w:r>
      <w:r>
        <w:rPr>
          <w:noProof/>
          <w:sz w:val="28"/>
        </w:rPr>
        <w:tab/>
        <w:t>16</w:t>
      </w:r>
    </w:p>
    <w:p w:rsidR="00DA04A4" w:rsidRDefault="00DA04A4">
      <w:pPr>
        <w:pStyle w:val="30"/>
        <w:tabs>
          <w:tab w:val="left" w:pos="1000"/>
          <w:tab w:val="right" w:leader="dot" w:pos="9629"/>
        </w:tabs>
        <w:spacing w:line="480" w:lineRule="auto"/>
        <w:rPr>
          <w:noProof/>
          <w:sz w:val="28"/>
        </w:rPr>
      </w:pPr>
      <w:r>
        <w:rPr>
          <w:noProof/>
          <w:snapToGrid w:val="0"/>
          <w:sz w:val="28"/>
        </w:rPr>
        <w:t>2.2</w:t>
      </w:r>
      <w:r>
        <w:rPr>
          <w:noProof/>
          <w:sz w:val="28"/>
        </w:rPr>
        <w:tab/>
      </w:r>
      <w:r>
        <w:rPr>
          <w:noProof/>
          <w:snapToGrid w:val="0"/>
          <w:sz w:val="28"/>
        </w:rPr>
        <w:t>Медная промышленность</w:t>
      </w:r>
      <w:r>
        <w:rPr>
          <w:noProof/>
          <w:sz w:val="28"/>
        </w:rPr>
        <w:tab/>
        <w:t>18</w:t>
      </w:r>
    </w:p>
    <w:p w:rsidR="00DA04A4" w:rsidRDefault="00DA04A4">
      <w:pPr>
        <w:pStyle w:val="30"/>
        <w:tabs>
          <w:tab w:val="left" w:pos="1000"/>
          <w:tab w:val="right" w:leader="dot" w:pos="9629"/>
        </w:tabs>
        <w:spacing w:line="480" w:lineRule="auto"/>
        <w:rPr>
          <w:noProof/>
          <w:sz w:val="28"/>
        </w:rPr>
      </w:pPr>
      <w:r>
        <w:rPr>
          <w:noProof/>
          <w:snapToGrid w:val="0"/>
          <w:sz w:val="28"/>
        </w:rPr>
        <w:t>2.3</w:t>
      </w:r>
      <w:r>
        <w:rPr>
          <w:noProof/>
          <w:sz w:val="28"/>
        </w:rPr>
        <w:tab/>
      </w:r>
      <w:r>
        <w:rPr>
          <w:noProof/>
          <w:snapToGrid w:val="0"/>
          <w:sz w:val="28"/>
        </w:rPr>
        <w:t>Свинцово-цинковая промышленность.</w:t>
      </w:r>
      <w:r>
        <w:rPr>
          <w:noProof/>
          <w:sz w:val="28"/>
        </w:rPr>
        <w:tab/>
        <w:t>19</w:t>
      </w:r>
    </w:p>
    <w:p w:rsidR="00DA04A4" w:rsidRDefault="00DA04A4">
      <w:pPr>
        <w:pStyle w:val="20"/>
        <w:tabs>
          <w:tab w:val="left" w:pos="600"/>
          <w:tab w:val="right" w:leader="dot" w:pos="9629"/>
        </w:tabs>
        <w:spacing w:line="480" w:lineRule="auto"/>
        <w:rPr>
          <w:noProof/>
          <w:sz w:val="28"/>
        </w:rPr>
      </w:pPr>
      <w:r>
        <w:rPr>
          <w:noProof/>
          <w:snapToGrid w:val="0"/>
          <w:sz w:val="28"/>
        </w:rPr>
        <w:t>3</w:t>
      </w:r>
      <w:r>
        <w:rPr>
          <w:noProof/>
          <w:sz w:val="28"/>
        </w:rPr>
        <w:tab/>
      </w:r>
      <w:r>
        <w:rPr>
          <w:noProof/>
          <w:snapToGrid w:val="0"/>
          <w:sz w:val="28"/>
        </w:rPr>
        <w:t>Вариантный прогноз развития цветной металлургии по регионам.</w:t>
      </w:r>
      <w:r>
        <w:rPr>
          <w:noProof/>
          <w:sz w:val="28"/>
        </w:rPr>
        <w:tab/>
        <w:t>22</w:t>
      </w:r>
    </w:p>
    <w:p w:rsidR="00DA04A4" w:rsidRDefault="00DA04A4">
      <w:pPr>
        <w:pStyle w:val="20"/>
        <w:tabs>
          <w:tab w:val="left" w:pos="600"/>
          <w:tab w:val="right" w:leader="dot" w:pos="9629"/>
        </w:tabs>
        <w:spacing w:line="480" w:lineRule="auto"/>
        <w:rPr>
          <w:noProof/>
          <w:sz w:val="28"/>
        </w:rPr>
      </w:pPr>
      <w:r>
        <w:rPr>
          <w:noProof/>
          <w:snapToGrid w:val="0"/>
          <w:sz w:val="28"/>
        </w:rPr>
        <w:t>4</w:t>
      </w:r>
      <w:r>
        <w:rPr>
          <w:noProof/>
          <w:sz w:val="28"/>
        </w:rPr>
        <w:tab/>
      </w:r>
      <w:r>
        <w:rPr>
          <w:noProof/>
          <w:snapToGrid w:val="0"/>
          <w:sz w:val="28"/>
        </w:rPr>
        <w:t>Анализ деятельности крупнейшие предприятия цветной металлургии.</w:t>
      </w:r>
      <w:r>
        <w:rPr>
          <w:noProof/>
          <w:sz w:val="28"/>
        </w:rPr>
        <w:tab/>
        <w:t>30</w:t>
      </w:r>
    </w:p>
    <w:p w:rsidR="00DA04A4" w:rsidRDefault="00DA04A4">
      <w:pPr>
        <w:pStyle w:val="30"/>
        <w:tabs>
          <w:tab w:val="left" w:pos="1000"/>
          <w:tab w:val="right" w:leader="dot" w:pos="9629"/>
        </w:tabs>
        <w:spacing w:line="480" w:lineRule="auto"/>
        <w:rPr>
          <w:noProof/>
          <w:sz w:val="28"/>
        </w:rPr>
      </w:pPr>
      <w:r>
        <w:rPr>
          <w:noProof/>
          <w:snapToGrid w:val="0"/>
          <w:sz w:val="28"/>
        </w:rPr>
        <w:t>4.1</w:t>
      </w:r>
      <w:r>
        <w:rPr>
          <w:noProof/>
          <w:sz w:val="28"/>
        </w:rPr>
        <w:tab/>
      </w:r>
      <w:r>
        <w:rPr>
          <w:noProof/>
          <w:snapToGrid w:val="0"/>
          <w:sz w:val="28"/>
        </w:rPr>
        <w:t>РАО «Норильский никель»</w:t>
      </w:r>
      <w:r>
        <w:rPr>
          <w:noProof/>
          <w:sz w:val="28"/>
        </w:rPr>
        <w:tab/>
        <w:t>30</w:t>
      </w:r>
    </w:p>
    <w:p w:rsidR="00DA04A4" w:rsidRDefault="00DA04A4">
      <w:pPr>
        <w:pStyle w:val="30"/>
        <w:tabs>
          <w:tab w:val="left" w:pos="1000"/>
          <w:tab w:val="right" w:leader="dot" w:pos="9629"/>
        </w:tabs>
        <w:spacing w:line="480" w:lineRule="auto"/>
        <w:rPr>
          <w:noProof/>
          <w:sz w:val="28"/>
        </w:rPr>
      </w:pPr>
      <w:r>
        <w:rPr>
          <w:noProof/>
          <w:snapToGrid w:val="0"/>
          <w:sz w:val="28"/>
        </w:rPr>
        <w:t>4.2</w:t>
      </w:r>
      <w:r>
        <w:rPr>
          <w:noProof/>
          <w:sz w:val="28"/>
        </w:rPr>
        <w:tab/>
      </w:r>
      <w:r>
        <w:rPr>
          <w:noProof/>
          <w:snapToGrid w:val="0"/>
          <w:sz w:val="28"/>
        </w:rPr>
        <w:t>Красноярский алюминиевый завод</w:t>
      </w:r>
      <w:r>
        <w:rPr>
          <w:noProof/>
          <w:sz w:val="28"/>
        </w:rPr>
        <w:tab/>
        <w:t>32</w:t>
      </w:r>
    </w:p>
    <w:p w:rsidR="00DA04A4" w:rsidRDefault="00DA04A4">
      <w:pPr>
        <w:pStyle w:val="30"/>
        <w:tabs>
          <w:tab w:val="left" w:pos="1000"/>
          <w:tab w:val="right" w:leader="dot" w:pos="9629"/>
        </w:tabs>
        <w:spacing w:line="480" w:lineRule="auto"/>
        <w:rPr>
          <w:noProof/>
          <w:sz w:val="28"/>
        </w:rPr>
      </w:pPr>
      <w:r>
        <w:rPr>
          <w:noProof/>
          <w:snapToGrid w:val="0"/>
          <w:sz w:val="28"/>
        </w:rPr>
        <w:t>4.3</w:t>
      </w:r>
      <w:r>
        <w:rPr>
          <w:noProof/>
          <w:sz w:val="28"/>
        </w:rPr>
        <w:tab/>
      </w:r>
      <w:r>
        <w:rPr>
          <w:noProof/>
          <w:snapToGrid w:val="0"/>
          <w:sz w:val="28"/>
        </w:rPr>
        <w:t>Братский алюминиевый завод</w:t>
      </w:r>
      <w:r>
        <w:rPr>
          <w:noProof/>
          <w:sz w:val="28"/>
        </w:rPr>
        <w:tab/>
        <w:t>33</w:t>
      </w:r>
    </w:p>
    <w:p w:rsidR="00DA04A4" w:rsidRDefault="00DA04A4">
      <w:pPr>
        <w:pStyle w:val="10"/>
        <w:tabs>
          <w:tab w:val="right" w:leader="dot" w:pos="9629"/>
        </w:tabs>
        <w:spacing w:line="480" w:lineRule="auto"/>
        <w:rPr>
          <w:noProof/>
          <w:sz w:val="28"/>
        </w:rPr>
      </w:pPr>
      <w:r>
        <w:rPr>
          <w:noProof/>
          <w:snapToGrid w:val="0"/>
          <w:sz w:val="28"/>
        </w:rPr>
        <w:t>Заключение.</w:t>
      </w:r>
      <w:r>
        <w:rPr>
          <w:noProof/>
          <w:sz w:val="28"/>
        </w:rPr>
        <w:tab/>
        <w:t>36</w:t>
      </w:r>
    </w:p>
    <w:p w:rsidR="00DA04A4" w:rsidRDefault="00DA04A4">
      <w:pPr>
        <w:pStyle w:val="10"/>
        <w:tabs>
          <w:tab w:val="right" w:leader="dot" w:pos="9629"/>
        </w:tabs>
        <w:spacing w:line="480" w:lineRule="auto"/>
        <w:rPr>
          <w:noProof/>
          <w:sz w:val="28"/>
        </w:rPr>
      </w:pPr>
      <w:r>
        <w:rPr>
          <w:noProof/>
          <w:snapToGrid w:val="0"/>
          <w:sz w:val="28"/>
        </w:rPr>
        <w:t>Список использованной литературы.</w:t>
      </w:r>
      <w:r>
        <w:rPr>
          <w:noProof/>
          <w:sz w:val="28"/>
        </w:rPr>
        <w:tab/>
        <w:t>37</w:t>
      </w:r>
    </w:p>
    <w:p w:rsidR="00DA04A4" w:rsidRDefault="00DA04A4">
      <w:pPr>
        <w:pStyle w:val="-2"/>
        <w:spacing w:line="480" w:lineRule="auto"/>
        <w:rPr>
          <w:snapToGrid w:val="0"/>
          <w:lang w:val="ru-RU"/>
        </w:rPr>
      </w:pPr>
    </w:p>
    <w:p w:rsidR="00DA04A4" w:rsidRDefault="00DA04A4">
      <w:pPr>
        <w:pStyle w:val="-00"/>
        <w:rPr>
          <w:snapToGrid w:val="0"/>
        </w:rPr>
      </w:pPr>
      <w:bookmarkStart w:id="1" w:name="_Toc437260963"/>
      <w:r>
        <w:rPr>
          <w:snapToGrid w:val="0"/>
        </w:rPr>
        <w:t>Введение.</w:t>
      </w:r>
      <w:bookmarkEnd w:id="1"/>
    </w:p>
    <w:p w:rsidR="00DA04A4" w:rsidRDefault="00DA04A4">
      <w:pPr>
        <w:pStyle w:val="-2"/>
        <w:rPr>
          <w:snapToGrid w:val="0"/>
        </w:rPr>
      </w:pPr>
      <w:r>
        <w:rPr>
          <w:snapToGrid w:val="0"/>
          <w:lang w:val="ru-RU"/>
        </w:rPr>
        <w:t>Р</w:t>
      </w:r>
      <w:r>
        <w:rPr>
          <w:snapToGrid w:val="0"/>
        </w:rPr>
        <w:t>азмещение производства подвержено влиянию сово</w:t>
      </w:r>
      <w:r>
        <w:rPr>
          <w:snapToGrid w:val="0"/>
        </w:rPr>
        <w:softHyphen/>
        <w:t>купности множества факторов. Их число и соотноше</w:t>
      </w:r>
      <w:r>
        <w:rPr>
          <w:snapToGrid w:val="0"/>
        </w:rPr>
        <w:softHyphen/>
        <w:t>ние, применительно к условиям конкретного времени и места, может быть различным. Факторы размеще</w:t>
      </w:r>
      <w:r>
        <w:rPr>
          <w:snapToGrid w:val="0"/>
        </w:rPr>
        <w:softHyphen/>
        <w:t>ния производства относятся к числу динамичных. Из</w:t>
      </w:r>
      <w:r>
        <w:rPr>
          <w:snapToGrid w:val="0"/>
        </w:rPr>
        <w:softHyphen/>
        <w:t>менение их состава и характера происходит в связи с изменением факторов. Их число и соотношение зави</w:t>
      </w:r>
      <w:r>
        <w:rPr>
          <w:snapToGrid w:val="0"/>
        </w:rPr>
        <w:softHyphen/>
        <w:t>сят от особенностей экономической системы общества и характера общественного строя в целом, посту</w:t>
      </w:r>
      <w:r>
        <w:rPr>
          <w:snapToGrid w:val="0"/>
        </w:rPr>
        <w:softHyphen/>
        <w:t>пательного развития научно-технического прогресса, экономико-географических условий конкретной терри</w:t>
      </w:r>
      <w:r>
        <w:rPr>
          <w:snapToGrid w:val="0"/>
        </w:rPr>
        <w:softHyphen/>
        <w:t>тории и многих других.</w:t>
      </w:r>
    </w:p>
    <w:p w:rsidR="00DA04A4" w:rsidRDefault="00DA04A4">
      <w:pPr>
        <w:pStyle w:val="-2"/>
        <w:rPr>
          <w:snapToGrid w:val="0"/>
        </w:rPr>
      </w:pPr>
      <w:r>
        <w:rPr>
          <w:snapToGrid w:val="0"/>
        </w:rPr>
        <w:t>В ходе размещения производства по территории Рос</w:t>
      </w:r>
      <w:r>
        <w:rPr>
          <w:snapToGrid w:val="0"/>
        </w:rPr>
        <w:softHyphen/>
        <w:t>сии важно также учитывать свойственную эпохе науч</w:t>
      </w:r>
      <w:r>
        <w:rPr>
          <w:snapToGrid w:val="0"/>
        </w:rPr>
        <w:softHyphen/>
        <w:t>но-технической революции эволюцию представлений об общественном производстве. Его уже нельзя отождествлять исключительно со сферой материального или вещественного производства. Все больший удельный вес в экономике большинства стран начинает приоб</w:t>
      </w:r>
      <w:r>
        <w:rPr>
          <w:snapToGrid w:val="0"/>
        </w:rPr>
        <w:softHyphen/>
        <w:t>ретать сфера нематериального производства, или, как ее иногда называют, сфера услуг. Она с полным пра</w:t>
      </w:r>
      <w:r>
        <w:rPr>
          <w:snapToGrid w:val="0"/>
        </w:rPr>
        <w:softHyphen/>
        <w:t>вом должна входить в общественное производство, поскольку обществу важно производить не только сред</w:t>
      </w:r>
      <w:r>
        <w:rPr>
          <w:snapToGrid w:val="0"/>
        </w:rPr>
        <w:softHyphen/>
        <w:t>ства для жизни, но и осуществлять производство са</w:t>
      </w:r>
      <w:r>
        <w:rPr>
          <w:snapToGrid w:val="0"/>
        </w:rPr>
        <w:softHyphen/>
        <w:t>мой жизни во всех ее формах. Вот почему в составе общественного производства все более значимыми ста</w:t>
      </w:r>
      <w:r>
        <w:rPr>
          <w:snapToGrid w:val="0"/>
        </w:rPr>
        <w:softHyphen/>
        <w:t>новятся такие его сферы, как здравоохранение, обра</w:t>
      </w:r>
      <w:r>
        <w:rPr>
          <w:snapToGrid w:val="0"/>
        </w:rPr>
        <w:softHyphen/>
        <w:t>зование, информационное обслуживание, и другие. Объекты, представляющие названные и другие сферы общественного производства, также подлежат разме</w:t>
      </w:r>
      <w:r>
        <w:rPr>
          <w:snapToGrid w:val="0"/>
        </w:rPr>
        <w:softHyphen/>
        <w:t>щению в географическом пространстве со всеми при</w:t>
      </w:r>
      <w:r>
        <w:rPr>
          <w:snapToGrid w:val="0"/>
        </w:rPr>
        <w:softHyphen/>
        <w:t>сущими этому процессу закономерностями.</w:t>
      </w:r>
    </w:p>
    <w:p w:rsidR="00DA04A4" w:rsidRDefault="00DA04A4">
      <w:pPr>
        <w:pStyle w:val="-10"/>
        <w:rPr>
          <w:snapToGrid w:val="0"/>
        </w:rPr>
      </w:pPr>
      <w:bookmarkStart w:id="2" w:name="_Toc437260964"/>
      <w:r>
        <w:rPr>
          <w:snapToGrid w:val="0"/>
        </w:rPr>
        <w:t>Экономико-географические особенности размещение производства.</w:t>
      </w:r>
      <w:bookmarkEnd w:id="2"/>
    </w:p>
    <w:p w:rsidR="00DA04A4" w:rsidRDefault="00DA04A4">
      <w:pPr>
        <w:pStyle w:val="-2"/>
        <w:rPr>
          <w:snapToGrid w:val="0"/>
          <w:lang w:val="ru-RU"/>
        </w:rPr>
      </w:pPr>
    </w:p>
    <w:p w:rsidR="00DA04A4" w:rsidRDefault="00DA04A4">
      <w:pPr>
        <w:pStyle w:val="-2"/>
        <w:rPr>
          <w:snapToGrid w:val="0"/>
        </w:rPr>
      </w:pPr>
      <w:r>
        <w:rPr>
          <w:snapToGrid w:val="0"/>
        </w:rPr>
        <w:t>Характер размещения производства по территории представляет собой одно из важнейших условий обеспечения эффективности производства как на уровне отдельных предприятий, так и на уровне народного хозяйства в целом. Характер размещения производства во многом предопределяет скорость оборота капитала в общественном производстве, ве</w:t>
      </w:r>
      <w:r>
        <w:rPr>
          <w:snapToGrid w:val="0"/>
        </w:rPr>
        <w:softHyphen/>
        <w:t>личину издержек на производство товаров и в конеч</w:t>
      </w:r>
      <w:r>
        <w:rPr>
          <w:snapToGrid w:val="0"/>
        </w:rPr>
        <w:softHyphen/>
        <w:t>ном счете цены на реализуемую продукцию. По</w:t>
      </w:r>
      <w:r>
        <w:rPr>
          <w:snapToGrid w:val="0"/>
        </w:rPr>
        <w:softHyphen/>
        <w:t>следнее, наряду с качеством, является важным ус</w:t>
      </w:r>
      <w:r>
        <w:rPr>
          <w:snapToGrid w:val="0"/>
        </w:rPr>
        <w:softHyphen/>
        <w:t>ловием конкурентоспособности продукции на миро</w:t>
      </w:r>
      <w:r>
        <w:rPr>
          <w:snapToGrid w:val="0"/>
        </w:rPr>
        <w:softHyphen/>
        <w:t>вой и внутренних рынках. Размещение производства также предопределяет эффективность управленчес</w:t>
      </w:r>
      <w:r>
        <w:rPr>
          <w:snapToGrid w:val="0"/>
        </w:rPr>
        <w:softHyphen/>
        <w:t>кой деятельности в сфере производства, возможно</w:t>
      </w:r>
      <w:r>
        <w:rPr>
          <w:snapToGrid w:val="0"/>
        </w:rPr>
        <w:softHyphen/>
        <w:t>сти обеспечения производительного труда работни</w:t>
      </w:r>
      <w:r>
        <w:rPr>
          <w:snapToGrid w:val="0"/>
        </w:rPr>
        <w:softHyphen/>
        <w:t>ками управления.</w:t>
      </w:r>
    </w:p>
    <w:p w:rsidR="00DA04A4" w:rsidRDefault="00DA04A4">
      <w:pPr>
        <w:pStyle w:val="-11"/>
        <w:rPr>
          <w:snapToGrid w:val="0"/>
        </w:rPr>
      </w:pPr>
      <w:bookmarkStart w:id="3" w:name="_Toc437260965"/>
      <w:r>
        <w:rPr>
          <w:snapToGrid w:val="0"/>
        </w:rPr>
        <w:t>Размещение производства в советской экономике.</w:t>
      </w:r>
      <w:bookmarkEnd w:id="3"/>
    </w:p>
    <w:p w:rsidR="00DA04A4" w:rsidRDefault="00DA04A4">
      <w:pPr>
        <w:pStyle w:val="-2"/>
        <w:rPr>
          <w:snapToGrid w:val="0"/>
        </w:rPr>
      </w:pPr>
      <w:r>
        <w:rPr>
          <w:snapToGrid w:val="0"/>
        </w:rPr>
        <w:t>Размещение производства в советской экономике но</w:t>
      </w:r>
      <w:r>
        <w:rPr>
          <w:snapToGrid w:val="0"/>
        </w:rPr>
        <w:softHyphen/>
        <w:t>сило преимущественно плановый, централизованный характер. Важное значение придавалось взаимосвязи между характером размещением производства и гос</w:t>
      </w:r>
      <w:r>
        <w:rPr>
          <w:snapToGrid w:val="0"/>
        </w:rPr>
        <w:softHyphen/>
        <w:t>подствующим в экономике способом производства. Прежде всего была важна форма собственности на средства производства. В ходе размещения производ</w:t>
      </w:r>
      <w:r>
        <w:rPr>
          <w:snapToGrid w:val="0"/>
        </w:rPr>
        <w:softHyphen/>
        <w:t>ства принимался во внимание также ряд других фак</w:t>
      </w:r>
      <w:r>
        <w:rPr>
          <w:snapToGrid w:val="0"/>
        </w:rPr>
        <w:softHyphen/>
        <w:t>торов. Наиболее важное значение придавалось таким, как природные условия и природные ресурсы, харак</w:t>
      </w:r>
      <w:r>
        <w:rPr>
          <w:snapToGrid w:val="0"/>
        </w:rPr>
        <w:softHyphen/>
        <w:t>тер расселения населения и его структура, наличие рын</w:t>
      </w:r>
      <w:r>
        <w:rPr>
          <w:snapToGrid w:val="0"/>
        </w:rPr>
        <w:softHyphen/>
        <w:t>ков сбыта продукции и другим. На характере разме</w:t>
      </w:r>
      <w:r>
        <w:rPr>
          <w:snapToGrid w:val="0"/>
        </w:rPr>
        <w:softHyphen/>
        <w:t>щения производства в СССР существенно отражалось его во многом обособленное от мировой экономики развитие, по принципу автаркии или преимуществен</w:t>
      </w:r>
      <w:r>
        <w:rPr>
          <w:snapToGrid w:val="0"/>
        </w:rPr>
        <w:softHyphen/>
        <w:t>но опоры на собственные силы с ограниченным учас</w:t>
      </w:r>
      <w:r>
        <w:rPr>
          <w:snapToGrid w:val="0"/>
        </w:rPr>
        <w:softHyphen/>
        <w:t>тием в международном разделении труда.</w:t>
      </w:r>
      <w:r>
        <w:rPr>
          <w:rStyle w:val="a4"/>
          <w:snapToGrid w:val="0"/>
        </w:rPr>
        <w:footnoteReference w:id="1"/>
      </w:r>
    </w:p>
    <w:p w:rsidR="00DA04A4" w:rsidRDefault="00DA04A4">
      <w:pPr>
        <w:pStyle w:val="-2"/>
        <w:rPr>
          <w:snapToGrid w:val="0"/>
        </w:rPr>
      </w:pPr>
      <w:r>
        <w:rPr>
          <w:snapToGrid w:val="0"/>
        </w:rPr>
        <w:t>Рассмотрим более подробно, каким образом произво</w:t>
      </w:r>
      <w:r>
        <w:rPr>
          <w:snapToGrid w:val="0"/>
        </w:rPr>
        <w:softHyphen/>
        <w:t>дился учет некоторых факторов размещения производ</w:t>
      </w:r>
      <w:r>
        <w:rPr>
          <w:snapToGrid w:val="0"/>
        </w:rPr>
        <w:softHyphen/>
        <w:t>ства в ходе его осуществления.</w:t>
      </w:r>
    </w:p>
    <w:p w:rsidR="00DA04A4" w:rsidRDefault="00DA04A4">
      <w:pPr>
        <w:pStyle w:val="-2"/>
        <w:rPr>
          <w:snapToGrid w:val="0"/>
        </w:rPr>
      </w:pPr>
      <w:r>
        <w:rPr>
          <w:snapToGrid w:val="0"/>
        </w:rPr>
        <w:t>Природные условия, как известно, участвуют в процес</w:t>
      </w:r>
      <w:r>
        <w:rPr>
          <w:snapToGrid w:val="0"/>
        </w:rPr>
        <w:softHyphen/>
        <w:t>се производства практически во всех его отраслях, сфе</w:t>
      </w:r>
      <w:r>
        <w:rPr>
          <w:snapToGrid w:val="0"/>
        </w:rPr>
        <w:softHyphen/>
        <w:t>рах и звеньях. Они могут быть более или менее бла</w:t>
      </w:r>
      <w:r>
        <w:rPr>
          <w:snapToGrid w:val="0"/>
        </w:rPr>
        <w:softHyphen/>
        <w:t>гоприятными, т. е. играть роль стимуляторов или ог</w:t>
      </w:r>
      <w:r>
        <w:rPr>
          <w:snapToGrid w:val="0"/>
        </w:rPr>
        <w:softHyphen/>
        <w:t>раничителей производственной деятельности. В ходе участия в производственном процессе природные ус</w:t>
      </w:r>
      <w:r>
        <w:rPr>
          <w:snapToGrid w:val="0"/>
        </w:rPr>
        <w:softHyphen/>
        <w:t>ловия не изменяют своей естественной сущности.</w:t>
      </w:r>
      <w:r>
        <w:rPr>
          <w:rStyle w:val="a4"/>
          <w:snapToGrid w:val="0"/>
        </w:rPr>
        <w:footnoteReference w:id="2"/>
      </w:r>
    </w:p>
    <w:p w:rsidR="00DA04A4" w:rsidRDefault="00DA04A4">
      <w:pPr>
        <w:pStyle w:val="-2"/>
        <w:rPr>
          <w:snapToGrid w:val="0"/>
        </w:rPr>
      </w:pPr>
      <w:r>
        <w:rPr>
          <w:snapToGrid w:val="0"/>
        </w:rPr>
        <w:t>Природные ресурсы в отличие от природных условий, как правило, стимулируют размещение и развитие про</w:t>
      </w:r>
      <w:r>
        <w:rPr>
          <w:snapToGrid w:val="0"/>
        </w:rPr>
        <w:softHyphen/>
        <w:t>изводства и в процессе его подвергаются изменениям. Одни и те же компоненты природы могут играть роль и природных ресурсов, и природных условий в ходе размещения производства. Например, горы Кавказа являются серьезным препятствием для транспорта, но они же, благодаря наличию в них полезных ископае</w:t>
      </w:r>
      <w:r>
        <w:rPr>
          <w:snapToGrid w:val="0"/>
        </w:rPr>
        <w:softHyphen/>
        <w:t>мых, стимулируют развитие горнодобывающей про</w:t>
      </w:r>
      <w:r>
        <w:rPr>
          <w:snapToGrid w:val="0"/>
        </w:rPr>
        <w:softHyphen/>
        <w:t>мышленности.</w:t>
      </w:r>
    </w:p>
    <w:p w:rsidR="00DA04A4" w:rsidRDefault="00DA04A4">
      <w:pPr>
        <w:pStyle w:val="-2"/>
        <w:rPr>
          <w:snapToGrid w:val="0"/>
        </w:rPr>
      </w:pPr>
      <w:r>
        <w:rPr>
          <w:snapToGrid w:val="0"/>
        </w:rPr>
        <w:t xml:space="preserve">Климат оказывает наиболее существенное воздействие прежде всего на сельскохозяйственное производство, характер его специализации. </w:t>
      </w:r>
    </w:p>
    <w:p w:rsidR="00DA04A4" w:rsidRDefault="00DA04A4">
      <w:pPr>
        <w:pStyle w:val="-2"/>
        <w:rPr>
          <w:snapToGrid w:val="0"/>
        </w:rPr>
      </w:pPr>
      <w:r>
        <w:rPr>
          <w:snapToGrid w:val="0"/>
        </w:rPr>
        <w:t>Водные условия также могут выступать одновремен</w:t>
      </w:r>
      <w:r>
        <w:rPr>
          <w:snapToGrid w:val="0"/>
        </w:rPr>
        <w:softHyphen/>
        <w:t>но и в качестве природных ресурсов. Известно, что вода является не только условием судоходства, но и ресур</w:t>
      </w:r>
      <w:r>
        <w:rPr>
          <w:snapToGrid w:val="0"/>
        </w:rPr>
        <w:softHyphen/>
        <w:t>сом орошаемого земледелия. Она же является сырьем для производства кислорода и водорода.</w:t>
      </w:r>
    </w:p>
    <w:p w:rsidR="00DA04A4" w:rsidRDefault="00DA04A4">
      <w:pPr>
        <w:pStyle w:val="-2"/>
        <w:rPr>
          <w:snapToGrid w:val="0"/>
        </w:rPr>
      </w:pPr>
      <w:r>
        <w:rPr>
          <w:snapToGrid w:val="0"/>
        </w:rPr>
        <w:t>В советский период развития экономики России при</w:t>
      </w:r>
      <w:r>
        <w:rPr>
          <w:snapToGrid w:val="0"/>
        </w:rPr>
        <w:softHyphen/>
        <w:t>нято было считать приоритетными некоторые законо</w:t>
      </w:r>
      <w:r>
        <w:rPr>
          <w:snapToGrid w:val="0"/>
        </w:rPr>
        <w:softHyphen/>
        <w:t>мерности производства, что находило отражение в со</w:t>
      </w:r>
      <w:r>
        <w:rPr>
          <w:snapToGrid w:val="0"/>
        </w:rPr>
        <w:softHyphen/>
        <w:t>ставляемых государственных планах его развития. К</w:t>
      </w:r>
      <w:r>
        <w:rPr>
          <w:snapToGrid w:val="0"/>
          <w:lang w:val="ru-RU"/>
        </w:rPr>
        <w:t xml:space="preserve"> </w:t>
      </w:r>
      <w:r>
        <w:rPr>
          <w:snapToGrid w:val="0"/>
        </w:rPr>
        <w:t>ним относились, например, рациональная производ</w:t>
      </w:r>
      <w:r>
        <w:rPr>
          <w:snapToGrid w:val="0"/>
        </w:rPr>
        <w:softHyphen/>
        <w:t>ственная специализация как отдельных предприятий, так и конкретных территорий страны, комплексное развитие экономических районов СССР и другие. На размещение производства могут оказывать влияние также экстремальные ситуации и военно-политические факторы. Например, в годы войны осуществлялось перемещение многих предприятий СССР в восточную и другие части страны. Особым образом размещались предприятия военно-промышленного комплекса в пос</w:t>
      </w:r>
      <w:r>
        <w:rPr>
          <w:snapToGrid w:val="0"/>
        </w:rPr>
        <w:softHyphen/>
        <w:t>левоенный период, в условиях так называемой «холод</w:t>
      </w:r>
      <w:r>
        <w:rPr>
          <w:snapToGrid w:val="0"/>
        </w:rPr>
        <w:softHyphen/>
        <w:t>ной войны».</w:t>
      </w:r>
    </w:p>
    <w:p w:rsidR="00DA04A4" w:rsidRDefault="00DA04A4">
      <w:pPr>
        <w:pStyle w:val="-2"/>
        <w:rPr>
          <w:snapToGrid w:val="0"/>
        </w:rPr>
      </w:pPr>
      <w:r>
        <w:rPr>
          <w:snapToGrid w:val="0"/>
        </w:rPr>
        <w:t>Важную роль в размещении производства всегда игра</w:t>
      </w:r>
      <w:r>
        <w:rPr>
          <w:snapToGrid w:val="0"/>
        </w:rPr>
        <w:softHyphen/>
        <w:t>ет нацеленность на рост производительности и эффек</w:t>
      </w:r>
      <w:r>
        <w:rPr>
          <w:snapToGrid w:val="0"/>
        </w:rPr>
        <w:softHyphen/>
        <w:t>тивности. Условием их достижения обычно считается обеспечение наиболее целесообразного использования благоприятных природных, экономических и иных условий отдельных районов, т. е. имеется в виду ис</w:t>
      </w:r>
      <w:r>
        <w:rPr>
          <w:snapToGrid w:val="0"/>
        </w:rPr>
        <w:softHyphen/>
        <w:t>пользование имеющихся в них преимуществ для ус</w:t>
      </w:r>
      <w:r>
        <w:rPr>
          <w:snapToGrid w:val="0"/>
        </w:rPr>
        <w:softHyphen/>
        <w:t>коренного развития по сравнению с другими.</w:t>
      </w:r>
    </w:p>
    <w:p w:rsidR="00DA04A4" w:rsidRDefault="00DA04A4">
      <w:pPr>
        <w:pStyle w:val="-2"/>
        <w:rPr>
          <w:snapToGrid w:val="0"/>
        </w:rPr>
      </w:pPr>
      <w:r>
        <w:rPr>
          <w:snapToGrid w:val="0"/>
        </w:rPr>
        <w:t>На размещение производства в советской экономике существенное влияние оказывали особенности обще</w:t>
      </w:r>
      <w:r>
        <w:rPr>
          <w:snapToGrid w:val="0"/>
        </w:rPr>
        <w:softHyphen/>
        <w:t>ственного строя, в частности характерное для него огра</w:t>
      </w:r>
      <w:r>
        <w:rPr>
          <w:snapToGrid w:val="0"/>
        </w:rPr>
        <w:softHyphen/>
        <w:t>ничение прав и свобод граждан. Например, молодые специалисты, выпускники образовательных учрежде</w:t>
      </w:r>
      <w:r>
        <w:rPr>
          <w:snapToGrid w:val="0"/>
        </w:rPr>
        <w:softHyphen/>
        <w:t>ний, с помощью волевых методов распределялись на работу на новостройки страны и другие предприятия.</w:t>
      </w:r>
    </w:p>
    <w:p w:rsidR="00DA04A4" w:rsidRDefault="00DA04A4">
      <w:pPr>
        <w:pStyle w:val="-2"/>
        <w:rPr>
          <w:snapToGrid w:val="0"/>
        </w:rPr>
      </w:pPr>
      <w:r>
        <w:rPr>
          <w:snapToGrid w:val="0"/>
        </w:rPr>
        <w:t>К размещению производства в советской экономике, его принципам и методам, а также формам нельзя подходить односторонне. Односторонний подход по</w:t>
      </w:r>
      <w:r>
        <w:rPr>
          <w:snapToGrid w:val="0"/>
          <w:lang w:val="ru-RU"/>
        </w:rPr>
        <w:t xml:space="preserve"> </w:t>
      </w:r>
      <w:r>
        <w:rPr>
          <w:snapToGrid w:val="0"/>
        </w:rPr>
        <w:t>принципу «черное—белое» всегда неуместен в нахож</w:t>
      </w:r>
      <w:r>
        <w:rPr>
          <w:snapToGrid w:val="0"/>
        </w:rPr>
        <w:softHyphen/>
        <w:t>дении истины. Важно учитывать, что в размещении производства в различных экономических системах, а также странах наряду с принципиальными различия</w:t>
      </w:r>
      <w:r>
        <w:rPr>
          <w:snapToGrid w:val="0"/>
        </w:rPr>
        <w:softHyphen/>
        <w:t>ми всегда есть много общего. Например, фактор на</w:t>
      </w:r>
      <w:r>
        <w:rPr>
          <w:snapToGrid w:val="0"/>
        </w:rPr>
        <w:softHyphen/>
        <w:t>личия трудовых ресурсов учитывается практически вез</w:t>
      </w:r>
      <w:r>
        <w:rPr>
          <w:snapToGrid w:val="0"/>
        </w:rPr>
        <w:softHyphen/>
        <w:t>де и всегда при планировании строительства предпри</w:t>
      </w:r>
      <w:r>
        <w:rPr>
          <w:snapToGrid w:val="0"/>
        </w:rPr>
        <w:softHyphen/>
        <w:t>ятий с трудоемкой продукцией. Такие предприятия создают обычно на территориях с высокой концентра</w:t>
      </w:r>
      <w:r>
        <w:rPr>
          <w:snapToGrid w:val="0"/>
        </w:rPr>
        <w:softHyphen/>
        <w:t>цией постоянно проживающего населения. В СССР та</w:t>
      </w:r>
      <w:r>
        <w:rPr>
          <w:snapToGrid w:val="0"/>
        </w:rPr>
        <w:softHyphen/>
        <w:t>ковыми являлись и являются сегодня районы европей</w:t>
      </w:r>
      <w:r>
        <w:rPr>
          <w:snapToGrid w:val="0"/>
        </w:rPr>
        <w:softHyphen/>
        <w:t>скою части страны.</w:t>
      </w:r>
    </w:p>
    <w:p w:rsidR="00DA04A4" w:rsidRDefault="00DA04A4">
      <w:pPr>
        <w:pStyle w:val="-2"/>
        <w:rPr>
          <w:snapToGrid w:val="0"/>
        </w:rPr>
      </w:pPr>
      <w:r>
        <w:rPr>
          <w:snapToGrid w:val="0"/>
        </w:rPr>
        <w:t>На размещение производства несомненное влияние ока</w:t>
      </w:r>
      <w:r>
        <w:rPr>
          <w:snapToGrid w:val="0"/>
        </w:rPr>
        <w:softHyphen/>
        <w:t>зывают размеры предприятий. Крупные комбинаты не должны создаваться в малых городах. Однако данное требование не всегда соблюдалось в советской эконо</w:t>
      </w:r>
      <w:r>
        <w:rPr>
          <w:snapToGrid w:val="0"/>
        </w:rPr>
        <w:softHyphen/>
        <w:t>мике. Не случайно ее наследством в настоящее время является немало градообразующих предприятий, что породило в период реформ много экономических, со</w:t>
      </w:r>
      <w:r>
        <w:rPr>
          <w:snapToGrid w:val="0"/>
        </w:rPr>
        <w:softHyphen/>
        <w:t>циальных и других проблем.</w:t>
      </w:r>
      <w:r>
        <w:rPr>
          <w:rStyle w:val="a4"/>
          <w:snapToGrid w:val="0"/>
        </w:rPr>
        <w:footnoteReference w:id="3"/>
      </w:r>
    </w:p>
    <w:p w:rsidR="00DA04A4" w:rsidRDefault="00DA04A4">
      <w:pPr>
        <w:pStyle w:val="-2"/>
        <w:rPr>
          <w:snapToGrid w:val="0"/>
        </w:rPr>
      </w:pPr>
      <w:r>
        <w:rPr>
          <w:snapToGrid w:val="0"/>
        </w:rPr>
        <w:t>Большую роль в размещении производства играет его зависимость от энергетических ресурсов. Поэтому энерго- и топливоемкие виды производств в СССР приня</w:t>
      </w:r>
      <w:r>
        <w:rPr>
          <w:snapToGrid w:val="0"/>
        </w:rPr>
        <w:softHyphen/>
        <w:t>то было размещать в зонах производства дешевой элек</w:t>
      </w:r>
      <w:r>
        <w:rPr>
          <w:snapToGrid w:val="0"/>
        </w:rPr>
        <w:softHyphen/>
        <w:t>трической энергии, например в Сибири, Казахстане. По этой же причине существовала практика всемерного ограничения развития энергоемких производств в ев</w:t>
      </w:r>
      <w:r>
        <w:rPr>
          <w:snapToGrid w:val="0"/>
        </w:rPr>
        <w:softHyphen/>
        <w:t>ропейской части СССР и на Урале.</w:t>
      </w:r>
    </w:p>
    <w:p w:rsidR="00DA04A4" w:rsidRDefault="00DA04A4">
      <w:pPr>
        <w:pStyle w:val="-2"/>
        <w:rPr>
          <w:snapToGrid w:val="0"/>
        </w:rPr>
      </w:pPr>
      <w:r>
        <w:rPr>
          <w:snapToGrid w:val="0"/>
        </w:rPr>
        <w:t>Важным фактором, учитываемым при размещения про</w:t>
      </w:r>
      <w:r>
        <w:rPr>
          <w:snapToGrid w:val="0"/>
        </w:rPr>
        <w:softHyphen/>
        <w:t>изводства, в любой экономике является его сезонный</w:t>
      </w:r>
      <w:r>
        <w:rPr>
          <w:snapToGrid w:val="0"/>
          <w:lang w:val="ru-RU"/>
        </w:rPr>
        <w:t xml:space="preserve"> </w:t>
      </w:r>
      <w:r>
        <w:rPr>
          <w:snapToGrid w:val="0"/>
        </w:rPr>
        <w:t>характер. Сезонные предприятия в советский период принято было размещать, как правило, в сельской мест</w:t>
      </w:r>
      <w:r>
        <w:rPr>
          <w:snapToGrid w:val="0"/>
        </w:rPr>
        <w:softHyphen/>
        <w:t>ности. Они обычно предназначались для переработки сельскохозяйственного сырья, бытового обслуживания населения. Сезонными по характеру зачастую являются многие виды народных промыслов.</w:t>
      </w:r>
    </w:p>
    <w:p w:rsidR="00DA04A4" w:rsidRDefault="00DA04A4">
      <w:pPr>
        <w:pStyle w:val="-2"/>
        <w:rPr>
          <w:snapToGrid w:val="0"/>
        </w:rPr>
      </w:pPr>
      <w:r>
        <w:rPr>
          <w:snapToGrid w:val="0"/>
        </w:rPr>
        <w:t>Очевидно, что размещение производства представля</w:t>
      </w:r>
      <w:r>
        <w:rPr>
          <w:snapToGrid w:val="0"/>
        </w:rPr>
        <w:softHyphen/>
        <w:t>ет собой весьма сложную экономическую, теоретичес</w:t>
      </w:r>
      <w:r>
        <w:rPr>
          <w:snapToGrid w:val="0"/>
        </w:rPr>
        <w:softHyphen/>
        <w:t>кую проблему. Успешное ее решение применительно к государству, стране, обществу в целом и к отдель</w:t>
      </w:r>
      <w:r>
        <w:rPr>
          <w:snapToGrid w:val="0"/>
        </w:rPr>
        <w:softHyphen/>
        <w:t>ному хозяйствующему субъекту, т. е. любому участ</w:t>
      </w:r>
      <w:r>
        <w:rPr>
          <w:snapToGrid w:val="0"/>
        </w:rPr>
        <w:softHyphen/>
        <w:t>нику (субъекту) рыночных отношений, является весь</w:t>
      </w:r>
      <w:r>
        <w:rPr>
          <w:snapToGrid w:val="0"/>
        </w:rPr>
        <w:softHyphen/>
        <w:t>ма сложной задачей. И, конечно, должен учитывать</w:t>
      </w:r>
      <w:r>
        <w:rPr>
          <w:snapToGrid w:val="0"/>
        </w:rPr>
        <w:softHyphen/>
        <w:t>ся не только отечественный опыт экономической дея</w:t>
      </w:r>
      <w:r>
        <w:rPr>
          <w:snapToGrid w:val="0"/>
        </w:rPr>
        <w:softHyphen/>
        <w:t>тельности в разные периоды истории страны, но и опыт других стран, успешно развивающих свою эко</w:t>
      </w:r>
      <w:r>
        <w:rPr>
          <w:snapToGrid w:val="0"/>
        </w:rPr>
        <w:softHyphen/>
        <w:t>номику. Важен и положительный, со знаком плюс, опыт, и со знаком минус, т. е. отрицательный. В этой связи представляет определенный интерес практика разработки в СССР специальной классификации отрас</w:t>
      </w:r>
      <w:r>
        <w:rPr>
          <w:snapToGrid w:val="0"/>
        </w:rPr>
        <w:softHyphen/>
        <w:t>лей экономики, учитывающей различные факторы раз</w:t>
      </w:r>
      <w:r>
        <w:rPr>
          <w:snapToGrid w:val="0"/>
        </w:rPr>
        <w:softHyphen/>
        <w:t>мещения производства. Такая классификация и в ус</w:t>
      </w:r>
      <w:r>
        <w:rPr>
          <w:snapToGrid w:val="0"/>
        </w:rPr>
        <w:softHyphen/>
        <w:t>ловиях рыночных отношений в существенной степени способна служить ориентиром размещения произ</w:t>
      </w:r>
      <w:r>
        <w:rPr>
          <w:snapToGrid w:val="0"/>
        </w:rPr>
        <w:softHyphen/>
        <w:t>водств, хотя и не должна подвергаться абсолютизации, переоценке ее возможностей.</w:t>
      </w:r>
      <w:r>
        <w:rPr>
          <w:rStyle w:val="a4"/>
          <w:snapToGrid w:val="0"/>
        </w:rPr>
        <w:footnoteReference w:id="4"/>
      </w:r>
    </w:p>
    <w:p w:rsidR="00DA04A4" w:rsidRDefault="00DA04A4">
      <w:pPr>
        <w:pStyle w:val="-2"/>
        <w:rPr>
          <w:snapToGrid w:val="0"/>
        </w:rPr>
      </w:pPr>
      <w:r>
        <w:rPr>
          <w:snapToGrid w:val="0"/>
        </w:rPr>
        <w:t>Важно также учитывать, что в экономической теории не так много теорий размещения производства, кото</w:t>
      </w:r>
      <w:r>
        <w:rPr>
          <w:snapToGrid w:val="0"/>
        </w:rPr>
        <w:softHyphen/>
        <w:t>рыми можно руководствоваться на практике, и еще меньше таких, которые на практике применялись.</w:t>
      </w:r>
      <w:r>
        <w:rPr>
          <w:rStyle w:val="a4"/>
          <w:snapToGrid w:val="0"/>
        </w:rPr>
        <w:footnoteReference w:id="5"/>
      </w:r>
    </w:p>
    <w:p w:rsidR="00DA04A4" w:rsidRDefault="00DA04A4">
      <w:pPr>
        <w:pStyle w:val="-2"/>
        <w:rPr>
          <w:snapToGrid w:val="0"/>
        </w:rPr>
      </w:pPr>
      <w:r>
        <w:rPr>
          <w:snapToGrid w:val="0"/>
        </w:rPr>
        <w:t>Ниже приводится классификация отраслей экономики, учитывающая факторы размещения производства в СССР.</w:t>
      </w:r>
    </w:p>
    <w:p w:rsidR="00DA04A4" w:rsidRDefault="00DA04A4">
      <w:pPr>
        <w:pStyle w:val="-2"/>
        <w:rPr>
          <w:snapToGrid w:val="0"/>
        </w:rPr>
      </w:pPr>
      <w:r>
        <w:rPr>
          <w:b/>
          <w:snapToGrid w:val="0"/>
        </w:rPr>
        <w:t>В первую группу</w:t>
      </w:r>
      <w:r>
        <w:rPr>
          <w:snapToGrid w:val="0"/>
        </w:rPr>
        <w:t xml:space="preserve"> такой классификации включаются отрасли, размещаемые в районах высокой концентра</w:t>
      </w:r>
      <w:r>
        <w:rPr>
          <w:snapToGrid w:val="0"/>
        </w:rPr>
        <w:softHyphen/>
        <w:t>ции трудовых ресурсов. К ним относятся приборо</w:t>
      </w:r>
      <w:r>
        <w:rPr>
          <w:snapToGrid w:val="0"/>
        </w:rPr>
        <w:softHyphen/>
        <w:t>строение, электротехническая промышленность, ряд отраслей легкой промышленности (текстильная, три</w:t>
      </w:r>
      <w:r>
        <w:rPr>
          <w:snapToGrid w:val="0"/>
        </w:rPr>
        <w:softHyphen/>
        <w:t>котажная, швейная), фармацевтическая, производство изделий из пластмасс.</w:t>
      </w:r>
    </w:p>
    <w:p w:rsidR="00DA04A4" w:rsidRDefault="00DA04A4">
      <w:pPr>
        <w:pStyle w:val="-2"/>
        <w:rPr>
          <w:snapToGrid w:val="0"/>
        </w:rPr>
      </w:pPr>
      <w:r>
        <w:rPr>
          <w:b/>
          <w:snapToGrid w:val="0"/>
        </w:rPr>
        <w:t>Ко второй группе</w:t>
      </w:r>
      <w:r>
        <w:rPr>
          <w:snapToGrid w:val="0"/>
        </w:rPr>
        <w:t xml:space="preserve"> относятся те, которые экономичес</w:t>
      </w:r>
      <w:r>
        <w:rPr>
          <w:snapToGrid w:val="0"/>
        </w:rPr>
        <w:softHyphen/>
        <w:t>ки тяготеют к рынкам сбыта продукции. Это отрасли пищевой промышленности (частично), производство кирпича, железобетонных изделий и другие.</w:t>
      </w:r>
    </w:p>
    <w:p w:rsidR="00DA04A4" w:rsidRDefault="00DA04A4">
      <w:pPr>
        <w:pStyle w:val="-2"/>
        <w:rPr>
          <w:snapToGrid w:val="0"/>
        </w:rPr>
      </w:pPr>
      <w:r>
        <w:rPr>
          <w:b/>
          <w:snapToGrid w:val="0"/>
        </w:rPr>
        <w:t>В третью группу</w:t>
      </w:r>
      <w:r>
        <w:rPr>
          <w:snapToGrid w:val="0"/>
        </w:rPr>
        <w:t xml:space="preserve"> входят отрасли, размещаемые пре</w:t>
      </w:r>
      <w:r>
        <w:rPr>
          <w:snapToGrid w:val="0"/>
        </w:rPr>
        <w:softHyphen/>
        <w:t>имущественно у источников сырья: добывающая про</w:t>
      </w:r>
      <w:r>
        <w:rPr>
          <w:snapToGrid w:val="0"/>
        </w:rPr>
        <w:softHyphen/>
        <w:t>мышленность; отрасли, перерабатывающие многотон</w:t>
      </w:r>
      <w:r>
        <w:rPr>
          <w:snapToGrid w:val="0"/>
        </w:rPr>
        <w:softHyphen/>
        <w:t>нажное сырье (черная и цветная металлургия, целлю</w:t>
      </w:r>
      <w:r>
        <w:rPr>
          <w:snapToGrid w:val="0"/>
        </w:rPr>
        <w:softHyphen/>
        <w:t>лозно-бумажная промышленность); пищевая, как свя</w:t>
      </w:r>
      <w:r>
        <w:rPr>
          <w:snapToGrid w:val="0"/>
        </w:rPr>
        <w:softHyphen/>
        <w:t>занная с переработкой малотранспортабельного сырья (сахарная, консервная), хлопкоочистительная.</w:t>
      </w:r>
    </w:p>
    <w:p w:rsidR="00DA04A4" w:rsidRDefault="00DA04A4">
      <w:pPr>
        <w:pStyle w:val="-2"/>
        <w:rPr>
          <w:snapToGrid w:val="0"/>
        </w:rPr>
      </w:pPr>
      <w:r>
        <w:rPr>
          <w:b/>
          <w:snapToGrid w:val="0"/>
        </w:rPr>
        <w:t>К четвертой группе</w:t>
      </w:r>
      <w:r>
        <w:rPr>
          <w:snapToGrid w:val="0"/>
        </w:rPr>
        <w:t xml:space="preserve"> следует отнести отрасли, тяготе</w:t>
      </w:r>
      <w:r>
        <w:rPr>
          <w:snapToGrid w:val="0"/>
        </w:rPr>
        <w:softHyphen/>
        <w:t>ющие к районам дешевой электрической энергии: про</w:t>
      </w:r>
      <w:r>
        <w:rPr>
          <w:snapToGrid w:val="0"/>
        </w:rPr>
        <w:softHyphen/>
        <w:t>изводство алюминия, ферросплавов, цветных металлов и другие.</w:t>
      </w:r>
    </w:p>
    <w:p w:rsidR="00DA04A4" w:rsidRDefault="00DA04A4">
      <w:pPr>
        <w:pStyle w:val="-2"/>
        <w:rPr>
          <w:snapToGrid w:val="0"/>
        </w:rPr>
      </w:pPr>
      <w:r>
        <w:rPr>
          <w:b/>
          <w:snapToGrid w:val="0"/>
        </w:rPr>
        <w:t>В пятую группу</w:t>
      </w:r>
      <w:r>
        <w:rPr>
          <w:snapToGrid w:val="0"/>
        </w:rPr>
        <w:t xml:space="preserve"> включаются отрасли, которые тяго</w:t>
      </w:r>
      <w:r>
        <w:rPr>
          <w:snapToGrid w:val="0"/>
        </w:rPr>
        <w:softHyphen/>
        <w:t>теют к источникам топлива: тепловые электростанции, отрасли химической промышленности и другие.</w:t>
      </w:r>
    </w:p>
    <w:p w:rsidR="00DA04A4" w:rsidRDefault="00DA04A4">
      <w:pPr>
        <w:pStyle w:val="-2"/>
        <w:rPr>
          <w:snapToGrid w:val="0"/>
          <w:lang w:val="ru-RU"/>
        </w:rPr>
      </w:pPr>
      <w:r>
        <w:rPr>
          <w:b/>
          <w:snapToGrid w:val="0"/>
        </w:rPr>
        <w:t>К шестой группе</w:t>
      </w:r>
      <w:r>
        <w:rPr>
          <w:snapToGrid w:val="0"/>
        </w:rPr>
        <w:t xml:space="preserve"> относятся отрасли, которые по сво</w:t>
      </w:r>
      <w:r>
        <w:rPr>
          <w:snapToGrid w:val="0"/>
        </w:rPr>
        <w:softHyphen/>
        <w:t>ему характеру не имеет ярко выраженной ориентации: ряд отраслей машиностроения и другие.</w:t>
      </w:r>
    </w:p>
    <w:p w:rsidR="00DA04A4" w:rsidRDefault="00DA04A4">
      <w:pPr>
        <w:pStyle w:val="-2"/>
        <w:rPr>
          <w:snapToGrid w:val="0"/>
          <w:lang w:val="ru-RU"/>
        </w:rPr>
      </w:pPr>
    </w:p>
    <w:p w:rsidR="00DA04A4" w:rsidRDefault="00DA04A4">
      <w:pPr>
        <w:pStyle w:val="-11"/>
        <w:rPr>
          <w:snapToGrid w:val="0"/>
        </w:rPr>
      </w:pPr>
      <w:bookmarkStart w:id="4" w:name="_Toc437260966"/>
      <w:r>
        <w:rPr>
          <w:snapToGrid w:val="0"/>
        </w:rPr>
        <w:t>Размещение производства в переход</w:t>
      </w:r>
      <w:r>
        <w:rPr>
          <w:snapToGrid w:val="0"/>
        </w:rPr>
        <w:softHyphen/>
        <w:t>ной экономике России</w:t>
      </w:r>
      <w:bookmarkEnd w:id="4"/>
    </w:p>
    <w:p w:rsidR="00DA04A4" w:rsidRDefault="00DA04A4">
      <w:pPr>
        <w:pStyle w:val="-2"/>
        <w:rPr>
          <w:snapToGrid w:val="0"/>
          <w:lang w:val="ru-RU"/>
        </w:rPr>
      </w:pPr>
    </w:p>
    <w:p w:rsidR="00DA04A4" w:rsidRDefault="00DA04A4">
      <w:pPr>
        <w:pStyle w:val="-2"/>
        <w:rPr>
          <w:snapToGrid w:val="0"/>
        </w:rPr>
      </w:pPr>
      <w:r>
        <w:rPr>
          <w:snapToGrid w:val="0"/>
        </w:rPr>
        <w:t>Переход к рыночной экономике существенным обра</w:t>
      </w:r>
      <w:r>
        <w:rPr>
          <w:snapToGrid w:val="0"/>
        </w:rPr>
        <w:softHyphen/>
        <w:t>зом отражается на характере размещения производства. Такой переход, с одной стороны, требует всемерного учета накопленного в советской экономике опыта раз</w:t>
      </w:r>
      <w:r>
        <w:rPr>
          <w:snapToGrid w:val="0"/>
        </w:rPr>
        <w:softHyphen/>
        <w:t>мещения производства, притом как положительного, так и отрицательного. С другой стороны, переориен</w:t>
      </w:r>
      <w:r>
        <w:rPr>
          <w:snapToGrid w:val="0"/>
        </w:rPr>
        <w:softHyphen/>
        <w:t>тация хозяйства в рыночном направлении, включение в мировое экономическое пространство в значительной степени способствуют изменению приоритетов в раз</w:t>
      </w:r>
      <w:r>
        <w:rPr>
          <w:snapToGrid w:val="0"/>
        </w:rPr>
        <w:softHyphen/>
        <w:t>мещении производства. В этой связи важно учитывать, что для рыночной экономики характерен преимуще</w:t>
      </w:r>
      <w:r>
        <w:rPr>
          <w:snapToGrid w:val="0"/>
        </w:rPr>
        <w:softHyphen/>
        <w:t>ственно децентрализованный характер размещения про</w:t>
      </w:r>
      <w:r>
        <w:rPr>
          <w:snapToGrid w:val="0"/>
        </w:rPr>
        <w:softHyphen/>
        <w:t>изводства, основанного на частной собственности на средства производства. Ведущая роль частного секто</w:t>
      </w:r>
      <w:r>
        <w:rPr>
          <w:snapToGrid w:val="0"/>
        </w:rPr>
        <w:softHyphen/>
        <w:t>ра в рыночной экономике, как правило, выражается в его наибольшей доле в объеме производимых жизнен</w:t>
      </w:r>
      <w:r>
        <w:rPr>
          <w:snapToGrid w:val="0"/>
        </w:rPr>
        <w:softHyphen/>
        <w:t>ных благ. Частному сектору присуща коммерциализа</w:t>
      </w:r>
      <w:r>
        <w:rPr>
          <w:snapToGrid w:val="0"/>
        </w:rPr>
        <w:softHyphen/>
        <w:t>ция деятельности, т. е. ориентация на получение при</w:t>
      </w:r>
      <w:r>
        <w:rPr>
          <w:snapToGrid w:val="0"/>
        </w:rPr>
        <w:softHyphen/>
        <w:t>были в размере, достаточном для нормального функ</w:t>
      </w:r>
      <w:r>
        <w:rPr>
          <w:snapToGrid w:val="0"/>
        </w:rPr>
        <w:softHyphen/>
        <w:t>ционирования предприятий. При этом ответственность за риск и всевозможные потери, прежде всего связан</w:t>
      </w:r>
      <w:r>
        <w:rPr>
          <w:snapToGrid w:val="0"/>
        </w:rPr>
        <w:softHyphen/>
        <w:t>ные с нерациональным размещением производства, в рыночной экономике несет не государство, а собственник или собственники предприятия. В таких условиях предпринимателям важно знать и тем более не игно</w:t>
      </w:r>
      <w:r>
        <w:rPr>
          <w:snapToGrid w:val="0"/>
        </w:rPr>
        <w:softHyphen/>
        <w:t>рировать, традиционные факторы производства. Одна</w:t>
      </w:r>
      <w:r>
        <w:rPr>
          <w:snapToGrid w:val="0"/>
        </w:rPr>
        <w:softHyphen/>
        <w:t>ко важно и другое: частная собственность в демо</w:t>
      </w:r>
      <w:r>
        <w:rPr>
          <w:snapToGrid w:val="0"/>
        </w:rPr>
        <w:softHyphen/>
        <w:t>кратическом, гражданском обществе является неприкос</w:t>
      </w:r>
      <w:r>
        <w:rPr>
          <w:snapToGrid w:val="0"/>
        </w:rPr>
        <w:softHyphen/>
        <w:t>новенной. Россия ориентируется на создание такого об</w:t>
      </w:r>
      <w:r>
        <w:rPr>
          <w:snapToGrid w:val="0"/>
        </w:rPr>
        <w:softHyphen/>
        <w:t>щества. Вот почему никто не вправе использовать во</w:t>
      </w:r>
      <w:r>
        <w:rPr>
          <w:snapToGrid w:val="0"/>
        </w:rPr>
        <w:softHyphen/>
        <w:t>левые методы для размещения частных предприятий там, где их собственники не считают размещение це</w:t>
      </w:r>
      <w:r>
        <w:rPr>
          <w:snapToGrid w:val="0"/>
        </w:rPr>
        <w:softHyphen/>
        <w:t>лесообразным. Следует, однако, учитывать, что в раз</w:t>
      </w:r>
      <w:r>
        <w:rPr>
          <w:snapToGrid w:val="0"/>
        </w:rPr>
        <w:softHyphen/>
        <w:t>мещении производства на тех или иных территориях страны может быть заинтересовано общество в лице государства. В таких случаях в рыночной экономике находит применение совокупность стимулирующих ме</w:t>
      </w:r>
      <w:r>
        <w:rPr>
          <w:snapToGrid w:val="0"/>
        </w:rPr>
        <w:softHyphen/>
        <w:t>роприятий. К ним, как правило, относятся различные средства косвенного воздействия на производство: на</w:t>
      </w:r>
      <w:r>
        <w:rPr>
          <w:snapToGrid w:val="0"/>
        </w:rPr>
        <w:softHyphen/>
        <w:t>логовые льготы и стимулирующая налоговая практи</w:t>
      </w:r>
      <w:r>
        <w:rPr>
          <w:snapToGrid w:val="0"/>
        </w:rPr>
        <w:softHyphen/>
        <w:t>ка, система законодательных мер, особенно направлен</w:t>
      </w:r>
      <w:r>
        <w:rPr>
          <w:snapToGrid w:val="0"/>
        </w:rPr>
        <w:softHyphen/>
        <w:t>ных на развитие мелкого и среднего предприниматель</w:t>
      </w:r>
      <w:r>
        <w:rPr>
          <w:snapToGrid w:val="0"/>
        </w:rPr>
        <w:softHyphen/>
        <w:t>ства, и другие. Наглядным примером в этом отноше</w:t>
      </w:r>
      <w:r>
        <w:rPr>
          <w:snapToGrid w:val="0"/>
        </w:rPr>
        <w:softHyphen/>
        <w:t>нии может служить практика создания в разных стра</w:t>
      </w:r>
      <w:r>
        <w:rPr>
          <w:snapToGrid w:val="0"/>
        </w:rPr>
        <w:softHyphen/>
        <w:t>нах мира свободных экономических зон (СЭЗ). В Рос</w:t>
      </w:r>
      <w:r>
        <w:rPr>
          <w:snapToGrid w:val="0"/>
        </w:rPr>
        <w:softHyphen/>
        <w:t>сии, например, такая зона создана в г. Находка на Дальнем Востоке. В случаях, когда государство при</w:t>
      </w:r>
      <w:r>
        <w:rPr>
          <w:snapToGrid w:val="0"/>
        </w:rPr>
        <w:softHyphen/>
        <w:t>меняет стимулы размещения производства на терри</w:t>
      </w:r>
      <w:r>
        <w:rPr>
          <w:snapToGrid w:val="0"/>
        </w:rPr>
        <w:softHyphen/>
        <w:t>ториях, не имеющих статуса свободных экономичес</w:t>
      </w:r>
      <w:r>
        <w:rPr>
          <w:snapToGrid w:val="0"/>
        </w:rPr>
        <w:softHyphen/>
        <w:t>ких зон, потенциальным инвесторам необходимы на</w:t>
      </w:r>
      <w:r>
        <w:rPr>
          <w:snapToGrid w:val="0"/>
        </w:rPr>
        <w:softHyphen/>
        <w:t>дежные гарантии в сохранении особых благоприятных условий предпринимательской деятельности в доста</w:t>
      </w:r>
      <w:r>
        <w:rPr>
          <w:snapToGrid w:val="0"/>
        </w:rPr>
        <w:softHyphen/>
        <w:t>точно длительной перспективе. Вот почему собствен</w:t>
      </w:r>
      <w:r>
        <w:rPr>
          <w:snapToGrid w:val="0"/>
        </w:rPr>
        <w:softHyphen/>
        <w:t>ники капитала, являющиеся будущими инвесторами, обычно заинтересованы в стабильности экономического курса страны и политической ситуации в ней.</w:t>
      </w:r>
      <w:r>
        <w:rPr>
          <w:rStyle w:val="a4"/>
          <w:snapToGrid w:val="0"/>
        </w:rPr>
        <w:footnoteReference w:id="6"/>
      </w:r>
    </w:p>
    <w:p w:rsidR="00DA04A4" w:rsidRDefault="00DA04A4">
      <w:pPr>
        <w:pStyle w:val="-2"/>
        <w:rPr>
          <w:snapToGrid w:val="0"/>
          <w:lang w:val="ru-RU"/>
        </w:rPr>
      </w:pPr>
      <w:r>
        <w:rPr>
          <w:snapToGrid w:val="0"/>
        </w:rPr>
        <w:t>Процесс размещения производства всегда порождает проблему обеспечения сбалансированности различных групп общественных интересов. К таковым можно от</w:t>
      </w:r>
      <w:r>
        <w:rPr>
          <w:snapToGrid w:val="0"/>
        </w:rPr>
        <w:softHyphen/>
        <w:t>нести, например, помимо интересов собственников предприятий, интересы регионов, государства, конк</w:t>
      </w:r>
      <w:r>
        <w:rPr>
          <w:snapToGrid w:val="0"/>
        </w:rPr>
        <w:softHyphen/>
        <w:t>ретных групп населения, общества в целом. Важную роль в обеспечении сбалансированности интересов по поводу размещения производства должно играть го</w:t>
      </w:r>
      <w:r>
        <w:rPr>
          <w:snapToGrid w:val="0"/>
        </w:rPr>
        <w:softHyphen/>
        <w:t>сударство. Оно обязано создавать правовую основу размещения производства и контролировать ее соблю</w:t>
      </w:r>
      <w:r>
        <w:rPr>
          <w:snapToGrid w:val="0"/>
        </w:rPr>
        <w:softHyphen/>
        <w:t>дение.</w:t>
      </w:r>
      <w:r>
        <w:rPr>
          <w:rStyle w:val="a4"/>
          <w:snapToGrid w:val="0"/>
        </w:rPr>
        <w:footnoteReference w:id="7"/>
      </w:r>
    </w:p>
    <w:p w:rsidR="00DA04A4" w:rsidRDefault="00DA04A4">
      <w:pPr>
        <w:pStyle w:val="-2"/>
        <w:rPr>
          <w:snapToGrid w:val="0"/>
        </w:rPr>
      </w:pPr>
    </w:p>
    <w:p w:rsidR="00DA04A4" w:rsidRDefault="00DA04A4">
      <w:pPr>
        <w:pStyle w:val="-10"/>
        <w:rPr>
          <w:snapToGrid w:val="0"/>
        </w:rPr>
      </w:pPr>
      <w:bookmarkStart w:id="5" w:name="_Toc437260967"/>
      <w:r>
        <w:rPr>
          <w:snapToGrid w:val="0"/>
        </w:rPr>
        <w:t>Размещение цветной металлургии.</w:t>
      </w:r>
      <w:bookmarkEnd w:id="5"/>
      <w:r>
        <w:rPr>
          <w:snapToGrid w:val="0"/>
        </w:rPr>
        <w:t xml:space="preserve"> </w:t>
      </w:r>
    </w:p>
    <w:p w:rsidR="00DA04A4" w:rsidRDefault="00DA04A4">
      <w:pPr>
        <w:pStyle w:val="-2"/>
        <w:rPr>
          <w:snapToGrid w:val="0"/>
          <w:lang w:val="ru-RU"/>
        </w:rPr>
      </w:pPr>
      <w:r>
        <w:rPr>
          <w:snapToGrid w:val="0"/>
        </w:rPr>
        <w:t xml:space="preserve">Эта отрасль промышленности включает добычу и обогащение руд цветных, благородных и редких металлов, выплавку металлов, их рафинирование, производство сплавов и проката. </w:t>
      </w:r>
      <w:r>
        <w:rPr>
          <w:snapToGrid w:val="0"/>
          <w:lang w:val="ru-RU"/>
        </w:rPr>
        <w:tab/>
      </w:r>
      <w:r>
        <w:rPr>
          <w:snapToGrid w:val="0"/>
          <w:lang w:val="ru-RU"/>
        </w:rPr>
        <w:tab/>
      </w:r>
    </w:p>
    <w:p w:rsidR="00DA04A4" w:rsidRDefault="00DA04A4">
      <w:pPr>
        <w:pStyle w:val="-2"/>
        <w:rPr>
          <w:snapToGrid w:val="0"/>
        </w:rPr>
      </w:pPr>
      <w:r>
        <w:rPr>
          <w:snapToGrid w:val="0"/>
          <w:lang w:val="ru-RU"/>
        </w:rPr>
        <w:t>Россия</w:t>
      </w:r>
      <w:r>
        <w:rPr>
          <w:snapToGrid w:val="0"/>
        </w:rPr>
        <w:t xml:space="preserve"> — страна, обладающая мощной цветной металлургией. Главная отличительная черта отрасли в нашей стра</w:t>
      </w:r>
      <w:r>
        <w:rPr>
          <w:snapToGrid w:val="0"/>
        </w:rPr>
        <w:softHyphen/>
        <w:t>не — развитие ее на основе использования собственных больших и разнообразных ресурсов. Р</w:t>
      </w:r>
      <w:r>
        <w:rPr>
          <w:snapToGrid w:val="0"/>
          <w:lang w:val="ru-RU"/>
        </w:rPr>
        <w:t>оссия</w:t>
      </w:r>
      <w:r>
        <w:rPr>
          <w:snapToGrid w:val="0"/>
        </w:rPr>
        <w:t xml:space="preserve"> занимает видное место в мире по за</w:t>
      </w:r>
      <w:r>
        <w:rPr>
          <w:snapToGrid w:val="0"/>
        </w:rPr>
        <w:softHyphen/>
        <w:t>пасам важнейших видов цветных металлов. Созданы все отрасли цветной металлургии. Ежегодно на экспорт идет около миллиона тонн цветных металлов.</w:t>
      </w:r>
    </w:p>
    <w:p w:rsidR="00DA04A4" w:rsidRDefault="00DA04A4">
      <w:pPr>
        <w:pStyle w:val="-2"/>
        <w:rPr>
          <w:snapToGrid w:val="0"/>
        </w:rPr>
      </w:pPr>
      <w:r>
        <w:rPr>
          <w:snapToGrid w:val="0"/>
        </w:rPr>
        <w:t>В отличие от черной металлургии, стоимость производимой в цветной металлургии продукции весьма высока, что влияет на раз</w:t>
      </w:r>
      <w:r>
        <w:rPr>
          <w:snapToGrid w:val="0"/>
        </w:rPr>
        <w:softHyphen/>
        <w:t>мещение отрасли. Высокая стоимость цветных металлов и изделий из них позволяет получать их далеко за пределами главных рай</w:t>
      </w:r>
      <w:r>
        <w:rPr>
          <w:snapToGrid w:val="0"/>
        </w:rPr>
        <w:softHyphen/>
        <w:t>онов-потребителей с развитой машиностроительной промышлен</w:t>
      </w:r>
      <w:r>
        <w:rPr>
          <w:snapToGrid w:val="0"/>
        </w:rPr>
        <w:softHyphen/>
        <w:t>ностью. Транспортные расходы увеличивают стоимость продукции цветной металлургии у потребителей в гораздо меньшей степени, чем при перевозке черных металлов.</w:t>
      </w:r>
    </w:p>
    <w:p w:rsidR="00DA04A4" w:rsidRDefault="00DA04A4">
      <w:pPr>
        <w:pStyle w:val="-2"/>
        <w:rPr>
          <w:snapToGrid w:val="0"/>
        </w:rPr>
      </w:pPr>
      <w:r>
        <w:rPr>
          <w:snapToGrid w:val="0"/>
        </w:rPr>
        <w:t>На размещение производства цветных металлов велико воздей</w:t>
      </w:r>
      <w:r>
        <w:rPr>
          <w:snapToGrid w:val="0"/>
        </w:rPr>
        <w:softHyphen/>
        <w:t>ствие технического прогресса в отрасли. В результате использова</w:t>
      </w:r>
      <w:r>
        <w:rPr>
          <w:snapToGrid w:val="0"/>
        </w:rPr>
        <w:softHyphen/>
        <w:t>ния новейших методов обогащения удается получать концентраты с содержанием металла в 40—60% и выше. Так, медные руды име</w:t>
      </w:r>
      <w:r>
        <w:rPr>
          <w:snapToGrid w:val="0"/>
        </w:rPr>
        <w:softHyphen/>
        <w:t>ют содержание меди не свыше 5%; содержание ее в концентрате повышается до 35%. В свинцово-цинковых рудах имеется не более 6% свинца, в концентрате</w:t>
      </w:r>
      <w:r>
        <w:rPr>
          <w:snapToGrid w:val="0"/>
          <w:lang w:val="ru-RU"/>
        </w:rPr>
        <w:t xml:space="preserve"> </w:t>
      </w:r>
      <w:r>
        <w:rPr>
          <w:snapToGrid w:val="0"/>
        </w:rPr>
        <w:t>—</w:t>
      </w:r>
      <w:r>
        <w:rPr>
          <w:snapToGrid w:val="0"/>
          <w:lang w:val="ru-RU"/>
        </w:rPr>
        <w:t xml:space="preserve"> </w:t>
      </w:r>
      <w:r>
        <w:rPr>
          <w:snapToGrid w:val="0"/>
        </w:rPr>
        <w:t>до 78% и т. д. Поэтому добыча и обо</w:t>
      </w:r>
      <w:r>
        <w:rPr>
          <w:snapToGrid w:val="0"/>
        </w:rPr>
        <w:softHyphen/>
        <w:t xml:space="preserve">гащение руд, на что падает не менее </w:t>
      </w:r>
      <w:r>
        <w:rPr>
          <w:snapToGrid w:val="0"/>
          <w:lang w:val="ru-RU"/>
        </w:rPr>
        <w:t>3/4</w:t>
      </w:r>
      <w:r>
        <w:rPr>
          <w:snapToGrid w:val="0"/>
        </w:rPr>
        <w:t xml:space="preserve"> всех затрат на получение цветных металлов, все в большей степени превращаются в самосто</w:t>
      </w:r>
      <w:r>
        <w:rPr>
          <w:snapToGrid w:val="0"/>
        </w:rPr>
        <w:softHyphen/>
        <w:t>ятельный производственный процесс. Значение его усиливается по мере вовлечения в производство более бедных руд. Большой объем работ, связанных с добычей руд цветных металлов и их обогащением, фондоемкость этих процессов, в результате которых получают дорогостоящий концентрат, допускает вести его дальнейший ме</w:t>
      </w:r>
      <w:r>
        <w:rPr>
          <w:snapToGrid w:val="0"/>
        </w:rPr>
        <w:softHyphen/>
        <w:t>таллургический передел вне районов выработки полупродукта.</w:t>
      </w:r>
    </w:p>
    <w:p w:rsidR="00DA04A4" w:rsidRDefault="00DA04A4">
      <w:pPr>
        <w:pStyle w:val="-2"/>
        <w:rPr>
          <w:snapToGrid w:val="0"/>
        </w:rPr>
      </w:pPr>
      <w:r>
        <w:rPr>
          <w:snapToGrid w:val="0"/>
        </w:rPr>
        <w:t>Возможность территориального разрыва процессов получения концентратов и выплавки самих цветных металлов обусловлена также высокой энергоемкостью получения многих из них. Произ</w:t>
      </w:r>
      <w:r>
        <w:rPr>
          <w:snapToGrid w:val="0"/>
        </w:rPr>
        <w:softHyphen/>
        <w:t>водства никеля, глинозема из нефелинов, меди черновой, цинка дистилляционным методом требуют большого расхода технологиче</w:t>
      </w:r>
      <w:r>
        <w:rPr>
          <w:snapToGrid w:val="0"/>
        </w:rPr>
        <w:softHyphen/>
        <w:t>ского топлива (иногда до 50 т условного топлива на 1 т готовой продукции). Рафинирование же этих металлов и выплавка большин</w:t>
      </w:r>
      <w:r>
        <w:rPr>
          <w:snapToGrid w:val="0"/>
        </w:rPr>
        <w:softHyphen/>
        <w:t>ства остальных цветных металлов связаны с затратами электриче</w:t>
      </w:r>
      <w:r>
        <w:rPr>
          <w:snapToGrid w:val="0"/>
        </w:rPr>
        <w:softHyphen/>
        <w:t>ской энергии (от нескольких тысяч до десятков тысяч киловатт-ча</w:t>
      </w:r>
      <w:r>
        <w:rPr>
          <w:snapToGrid w:val="0"/>
        </w:rPr>
        <w:softHyphen/>
        <w:t>сов на 1 т готовой продукции). Поэтому не всегда выгодно созда</w:t>
      </w:r>
      <w:r>
        <w:rPr>
          <w:snapToGrid w:val="0"/>
        </w:rPr>
        <w:softHyphen/>
        <w:t>вать энергоемкие производства выплавки цветных металлов в рай</w:t>
      </w:r>
      <w:r>
        <w:rPr>
          <w:snapToGrid w:val="0"/>
        </w:rPr>
        <w:softHyphen/>
        <w:t>онах и центрах добычи руды и получения концентратов. Сравни</w:t>
      </w:r>
      <w:r>
        <w:rPr>
          <w:snapToGrid w:val="0"/>
        </w:rPr>
        <w:softHyphen/>
        <w:t>тельно неэнергоемкое производство цинка может создаваться и в местах выработки концентрата, а его рафинирование и выплавка большинства других цветных металлов — в районах дешевой энер</w:t>
      </w:r>
      <w:r>
        <w:rPr>
          <w:snapToGrid w:val="0"/>
        </w:rPr>
        <w:softHyphen/>
        <w:t>гии и топлива.</w:t>
      </w:r>
    </w:p>
    <w:p w:rsidR="00DA04A4" w:rsidRDefault="00DA04A4">
      <w:pPr>
        <w:pStyle w:val="-2"/>
        <w:rPr>
          <w:snapToGrid w:val="0"/>
        </w:rPr>
      </w:pPr>
      <w:r>
        <w:rPr>
          <w:snapToGrid w:val="0"/>
        </w:rPr>
        <w:t>Особенность руд цветных металлов</w:t>
      </w:r>
      <w:r>
        <w:rPr>
          <w:snapToGrid w:val="0"/>
          <w:lang w:val="ru-RU"/>
        </w:rPr>
        <w:t xml:space="preserve"> </w:t>
      </w:r>
      <w:r>
        <w:rPr>
          <w:snapToGrid w:val="0"/>
        </w:rPr>
        <w:t>—</w:t>
      </w:r>
      <w:r>
        <w:rPr>
          <w:snapToGrid w:val="0"/>
          <w:lang w:val="ru-RU"/>
        </w:rPr>
        <w:t xml:space="preserve"> </w:t>
      </w:r>
      <w:r>
        <w:rPr>
          <w:snapToGrid w:val="0"/>
        </w:rPr>
        <w:t>их сложный состав, кото</w:t>
      </w:r>
      <w:r>
        <w:rPr>
          <w:snapToGrid w:val="0"/>
        </w:rPr>
        <w:softHyphen/>
        <w:t>рый может быть различен не только в разных месторождениях, но даже в пределах одного месторождения на разных участках добычи руды. Полиметаллические руды, кроме основных компонентов — свинца и цинка, содержат также другие цветные металлы (медь), благородные (золото, серебро), редкие и рассеянные (селен, кад</w:t>
      </w:r>
      <w:r>
        <w:rPr>
          <w:snapToGrid w:val="0"/>
        </w:rPr>
        <w:softHyphen/>
        <w:t>мий, висмут и др.). То же самое имеет место в медных, никелевых и других рудах. Содержание ряда компонентов бывает невелико, что делает выгодным дальнейшую переработку на месте лишь одного из основных компонентов, а других — на специализированных предприятиях в иных районах. Извлечение же благородных, редких и рассеянных металлов ведет</w:t>
      </w:r>
      <w:r>
        <w:rPr>
          <w:snapToGrid w:val="0"/>
        </w:rPr>
        <w:softHyphen/>
        <w:t>ся, как правило, в процессе рафинирования цветных металлов на специализированных заводах, находящихся нередко вне районов не только добычи руды, но и выплавки металла.</w:t>
      </w:r>
    </w:p>
    <w:p w:rsidR="00DA04A4" w:rsidRDefault="00DA04A4">
      <w:pPr>
        <w:pStyle w:val="-2"/>
        <w:rPr>
          <w:snapToGrid w:val="0"/>
        </w:rPr>
      </w:pPr>
      <w:r>
        <w:rPr>
          <w:snapToGrid w:val="0"/>
        </w:rPr>
        <w:t>В отдельных случаях экономически эффективным является сов</w:t>
      </w:r>
      <w:r>
        <w:rPr>
          <w:snapToGrid w:val="0"/>
        </w:rPr>
        <w:softHyphen/>
        <w:t>мещение процессов добычи и обогащения руд, выплавки ряда со</w:t>
      </w:r>
      <w:r>
        <w:rPr>
          <w:snapToGrid w:val="0"/>
        </w:rPr>
        <w:softHyphen/>
        <w:t>путствующих металлов и их рафинирования в одном пункте. Это ведет к внутриотраслевому комбинированию в цветной металлур</w:t>
      </w:r>
      <w:r>
        <w:rPr>
          <w:snapToGrid w:val="0"/>
        </w:rPr>
        <w:softHyphen/>
        <w:t>гии. По этому принципу организован ряд предприятий (горно-металлургиче</w:t>
      </w:r>
      <w:r>
        <w:rPr>
          <w:snapToGrid w:val="0"/>
        </w:rPr>
        <w:softHyphen/>
        <w:t>ские комбинаты).</w:t>
      </w:r>
    </w:p>
    <w:p w:rsidR="00DA04A4" w:rsidRDefault="00DA04A4">
      <w:pPr>
        <w:pStyle w:val="-2"/>
        <w:rPr>
          <w:snapToGrid w:val="0"/>
        </w:rPr>
      </w:pPr>
      <w:r>
        <w:rPr>
          <w:snapToGrid w:val="0"/>
        </w:rPr>
        <w:t>Большое значение приобрело в цветной металлургии и меж</w:t>
      </w:r>
      <w:r>
        <w:rPr>
          <w:snapToGrid w:val="0"/>
        </w:rPr>
        <w:softHyphen/>
        <w:t>отраслевое комбинирование ее с химической промышленностью. Основой для него чаще всего является использование сернистых соединений цветных металлов, в процессе обжига которых выделя</w:t>
      </w:r>
      <w:r>
        <w:rPr>
          <w:snapToGrid w:val="0"/>
        </w:rPr>
        <w:softHyphen/>
        <w:t>ется значительное количество соединений серы. Это определяет профиль предприятий (Медногорский медно-серный комбинат), которые кроме металла вырабатывают серную кислоту и серу. Из</w:t>
      </w:r>
      <w:r>
        <w:rPr>
          <w:snapToGrid w:val="0"/>
        </w:rPr>
        <w:softHyphen/>
        <w:t>бытки дешевой серной кислоты на заводах цветной металлургии</w:t>
      </w:r>
      <w:r>
        <w:rPr>
          <w:snapToGrid w:val="0"/>
          <w:lang w:val="ru-RU"/>
        </w:rPr>
        <w:t xml:space="preserve"> </w:t>
      </w:r>
      <w:r>
        <w:rPr>
          <w:snapToGrid w:val="0"/>
        </w:rPr>
        <w:t>делают выгодным создание там на базе привозного сырья (апати</w:t>
      </w:r>
      <w:r>
        <w:rPr>
          <w:snapToGrid w:val="0"/>
        </w:rPr>
        <w:softHyphen/>
        <w:t>тового концентрата или фосфоритов) производства фосфорных удобрений (Красноуральский и Среднеуральский медеплавильные заводы, Волховский алюминиевый и др.).</w:t>
      </w:r>
      <w:r>
        <w:rPr>
          <w:rStyle w:val="a4"/>
          <w:snapToGrid w:val="0"/>
        </w:rPr>
        <w:footnoteReference w:id="8"/>
      </w:r>
    </w:p>
    <w:p w:rsidR="00DA04A4" w:rsidRDefault="00DA04A4">
      <w:pPr>
        <w:pStyle w:val="-2"/>
        <w:rPr>
          <w:snapToGrid w:val="0"/>
        </w:rPr>
      </w:pPr>
      <w:r>
        <w:rPr>
          <w:snapToGrid w:val="0"/>
        </w:rPr>
        <w:t>Ряд заводов цветной металлургии, использующих руды, содер</w:t>
      </w:r>
      <w:r>
        <w:rPr>
          <w:snapToGrid w:val="0"/>
        </w:rPr>
        <w:softHyphen/>
        <w:t xml:space="preserve">жащие калий (карналлит и др.), для получения металлического магния </w:t>
      </w:r>
      <w:r>
        <w:rPr>
          <w:i/>
          <w:snapToGrid w:val="0"/>
        </w:rPr>
        <w:t>(Березниковский титано-магниевые комби</w:t>
      </w:r>
      <w:r>
        <w:rPr>
          <w:i/>
          <w:snapToGrid w:val="0"/>
        </w:rPr>
        <w:softHyphen/>
        <w:t>наты, Калушский и Соликамский</w:t>
      </w:r>
      <w:r>
        <w:rPr>
          <w:snapToGrid w:val="0"/>
        </w:rPr>
        <w:t xml:space="preserve"> магниевые заводы), в отходе да</w:t>
      </w:r>
      <w:r>
        <w:rPr>
          <w:snapToGrid w:val="0"/>
        </w:rPr>
        <w:softHyphen/>
        <w:t>ют хлористый калий—высококонцентрированное удобрение. Все чаще при переработке таких руд утилизируется также попутно от</w:t>
      </w:r>
      <w:r>
        <w:rPr>
          <w:snapToGrid w:val="0"/>
        </w:rPr>
        <w:softHyphen/>
        <w:t>ходящий хлор</w:t>
      </w:r>
      <w:r>
        <w:rPr>
          <w:snapToGrid w:val="0"/>
          <w:lang w:val="ru-RU"/>
        </w:rPr>
        <w:t xml:space="preserve"> </w:t>
      </w:r>
      <w:r>
        <w:rPr>
          <w:snapToGrid w:val="0"/>
        </w:rPr>
        <w:t>—</w:t>
      </w:r>
      <w:r>
        <w:rPr>
          <w:snapToGrid w:val="0"/>
          <w:lang w:val="ru-RU"/>
        </w:rPr>
        <w:t xml:space="preserve"> </w:t>
      </w:r>
      <w:r>
        <w:rPr>
          <w:snapToGrid w:val="0"/>
        </w:rPr>
        <w:t>один из важнейших видов сырья для разных отраслей химической промышленности. В процессе переработки нефелинов в отходе получают содопродукты — кальцинированную соду и поташ, алунитов — серную кислоту, калийные удобрения</w:t>
      </w:r>
      <w:r>
        <w:rPr>
          <w:snapToGrid w:val="0"/>
          <w:lang w:val="ru-RU"/>
        </w:rPr>
        <w:t xml:space="preserve"> </w:t>
      </w:r>
      <w:r>
        <w:rPr>
          <w:snapToGrid w:val="0"/>
        </w:rPr>
        <w:t>и др.</w:t>
      </w:r>
      <w:r>
        <w:rPr>
          <w:rStyle w:val="a4"/>
          <w:snapToGrid w:val="0"/>
        </w:rPr>
        <w:footnoteReference w:id="9"/>
      </w:r>
    </w:p>
    <w:p w:rsidR="00DA04A4" w:rsidRDefault="00DA04A4">
      <w:pPr>
        <w:pStyle w:val="-2"/>
        <w:rPr>
          <w:snapToGrid w:val="0"/>
          <w:lang w:val="ru-RU"/>
        </w:rPr>
      </w:pPr>
      <w:r>
        <w:rPr>
          <w:snapToGrid w:val="0"/>
        </w:rPr>
        <w:t>Возможность и необходимость комплексной переработки руд цветных металлов, организации внутриотраслевого и межотрасле</w:t>
      </w:r>
      <w:r>
        <w:rPr>
          <w:snapToGrid w:val="0"/>
        </w:rPr>
        <w:softHyphen/>
        <w:t>вого комбинирования приводят к большому увеличению размеров предприятий цветной металлургии. Сами процессы добычи и обо</w:t>
      </w:r>
      <w:r>
        <w:rPr>
          <w:snapToGrid w:val="0"/>
        </w:rPr>
        <w:softHyphen/>
        <w:t>гащения руды, а также выплавки некоторых металлов являются водоемкими. Еще более водоемки химические производства, орга</w:t>
      </w:r>
      <w:r>
        <w:rPr>
          <w:snapToGrid w:val="0"/>
        </w:rPr>
        <w:softHyphen/>
        <w:t>низуемые на таких комбинатах. Между тем большинство предприят</w:t>
      </w:r>
      <w:r>
        <w:rPr>
          <w:snapToGrid w:val="0"/>
          <w:lang w:val="ru-RU"/>
        </w:rPr>
        <w:t>и</w:t>
      </w:r>
      <w:r>
        <w:rPr>
          <w:snapToGrid w:val="0"/>
        </w:rPr>
        <w:t xml:space="preserve">й </w:t>
      </w:r>
      <w:r>
        <w:rPr>
          <w:snapToGrid w:val="0"/>
          <w:lang w:val="ru-RU"/>
        </w:rPr>
        <w:t>цветной металлургии находятся</w:t>
      </w:r>
      <w:r>
        <w:rPr>
          <w:snapToGrid w:val="0"/>
        </w:rPr>
        <w:t xml:space="preserve"> в дефицитных по воде районах (Северный Кавказ</w:t>
      </w:r>
      <w:r>
        <w:rPr>
          <w:snapToGrid w:val="0"/>
          <w:lang w:val="ru-RU"/>
        </w:rPr>
        <w:t>,</w:t>
      </w:r>
      <w:r>
        <w:rPr>
          <w:snapToGrid w:val="0"/>
        </w:rPr>
        <w:t xml:space="preserve"> Урал). Это сильно</w:t>
      </w:r>
      <w:r>
        <w:rPr>
          <w:snapToGrid w:val="0"/>
          <w:lang w:val="ru-RU"/>
        </w:rPr>
        <w:t xml:space="preserve"> влияет </w:t>
      </w:r>
      <w:r>
        <w:rPr>
          <w:snapToGrid w:val="0"/>
        </w:rPr>
        <w:t>на размеры и состав предприятий отрасли.</w:t>
      </w:r>
    </w:p>
    <w:p w:rsidR="00DA04A4" w:rsidRDefault="00DA04A4">
      <w:pPr>
        <w:pStyle w:val="-2"/>
        <w:rPr>
          <w:snapToGrid w:val="0"/>
          <w:lang w:val="ru-RU"/>
        </w:rPr>
      </w:pPr>
    </w:p>
    <w:p w:rsidR="00DA04A4" w:rsidRDefault="00DA04A4">
      <w:pPr>
        <w:pStyle w:val="-11"/>
        <w:rPr>
          <w:snapToGrid w:val="0"/>
        </w:rPr>
      </w:pPr>
      <w:bookmarkStart w:id="6" w:name="_Toc437260968"/>
      <w:r>
        <w:rPr>
          <w:snapToGrid w:val="0"/>
        </w:rPr>
        <w:t>Алюминиевая промышленность.</w:t>
      </w:r>
      <w:bookmarkEnd w:id="6"/>
    </w:p>
    <w:p w:rsidR="00DA04A4" w:rsidRDefault="00DA04A4">
      <w:pPr>
        <w:pStyle w:val="-2"/>
        <w:rPr>
          <w:i/>
          <w:snapToGrid w:val="0"/>
          <w:lang w:val="ru-RU"/>
        </w:rPr>
      </w:pPr>
    </w:p>
    <w:p w:rsidR="00DA04A4" w:rsidRDefault="00DA04A4">
      <w:pPr>
        <w:pStyle w:val="-2"/>
        <w:rPr>
          <w:snapToGrid w:val="0"/>
        </w:rPr>
      </w:pPr>
      <w:r>
        <w:rPr>
          <w:i/>
          <w:snapToGrid w:val="0"/>
        </w:rPr>
        <w:t>Алюминиевая промышленность</w:t>
      </w:r>
      <w:r>
        <w:rPr>
          <w:snapToGrid w:val="0"/>
        </w:rPr>
        <w:t xml:space="preserve"> в своем размещении все в боль</w:t>
      </w:r>
      <w:r>
        <w:rPr>
          <w:snapToGrid w:val="0"/>
        </w:rPr>
        <w:softHyphen/>
        <w:t>шей степени отрывается от сырьевой базы и от потребителя метал</w:t>
      </w:r>
      <w:r>
        <w:rPr>
          <w:snapToGrid w:val="0"/>
        </w:rPr>
        <w:softHyphen/>
        <w:t>ла. Потребителями изделий из алюминия и его сплавов, помимо авиационной промышленности, являются многие другие отрасли машиностроения — транспортное, электротехническое, а также строительство. Большинство потребителей алюминия размещается в европейских районах страны.</w:t>
      </w:r>
    </w:p>
    <w:p w:rsidR="00DA04A4" w:rsidRDefault="00DA04A4">
      <w:pPr>
        <w:pStyle w:val="-2"/>
        <w:rPr>
          <w:snapToGrid w:val="0"/>
        </w:rPr>
      </w:pPr>
      <w:r>
        <w:rPr>
          <w:snapToGrid w:val="0"/>
        </w:rPr>
        <w:t>Эта отрасль цветной металлургии претерпела наибольшие сдви</w:t>
      </w:r>
      <w:r>
        <w:rPr>
          <w:snapToGrid w:val="0"/>
        </w:rPr>
        <w:softHyphen/>
        <w:t>ги в своем размещении. Возникнув в годы первых пятилеток в европейской части страны у источников дешевой электроэнергии на Днепре и Волхове, частично на местном сырье, она перед вой</w:t>
      </w:r>
      <w:r>
        <w:rPr>
          <w:snapToGrid w:val="0"/>
        </w:rPr>
        <w:softHyphen/>
        <w:t>ной и в годы войны переместилась на Урал (Каменск-Уральский, Краснотурьинск), в Западную Сибирь (Новокузнецк). В послевоен</w:t>
      </w:r>
      <w:r>
        <w:rPr>
          <w:snapToGrid w:val="0"/>
        </w:rPr>
        <w:softHyphen/>
        <w:t>ные годы она в силу своего тяготения к дешевым источникам энер</w:t>
      </w:r>
      <w:r>
        <w:rPr>
          <w:snapToGrid w:val="0"/>
        </w:rPr>
        <w:softHyphen/>
        <w:t>гии опять получила развитие в европейских районах ( Кандалакша, Волгоград). С освоением дешевых источников топлива и гидроэнергии в восточных районах туда пе</w:t>
      </w:r>
      <w:r>
        <w:rPr>
          <w:snapToGrid w:val="0"/>
        </w:rPr>
        <w:softHyphen/>
        <w:t>реместилось строительство самых крупных предприятий отрасли (Красноярск, Братск). Новые алюминиевые заводы так</w:t>
      </w:r>
      <w:r>
        <w:rPr>
          <w:snapToGrid w:val="0"/>
        </w:rPr>
        <w:softHyphen/>
        <w:t>же сооружаются в Восточной Сибири (Саянский)</w:t>
      </w:r>
      <w:r>
        <w:rPr>
          <w:snapToGrid w:val="0"/>
          <w:lang w:val="ru-RU"/>
        </w:rPr>
        <w:t>.</w:t>
      </w:r>
      <w:r>
        <w:rPr>
          <w:snapToGrid w:val="0"/>
        </w:rPr>
        <w:t xml:space="preserve"> Восточные районы дают стране алюминий.</w:t>
      </w:r>
    </w:p>
    <w:p w:rsidR="00DA04A4" w:rsidRDefault="00DA04A4">
      <w:pPr>
        <w:pStyle w:val="-2"/>
        <w:rPr>
          <w:snapToGrid w:val="0"/>
        </w:rPr>
      </w:pPr>
      <w:r>
        <w:rPr>
          <w:snapToGrid w:val="0"/>
        </w:rPr>
        <w:t>Необходимый для получения алюминия глинозем большей частью вырабатывают в европейских районах и на Урале.</w:t>
      </w:r>
    </w:p>
    <w:p w:rsidR="00DA04A4" w:rsidRDefault="00DA04A4">
      <w:pPr>
        <w:pStyle w:val="-2"/>
        <w:rPr>
          <w:snapToGrid w:val="0"/>
        </w:rPr>
      </w:pPr>
      <w:r>
        <w:rPr>
          <w:snapToGrid w:val="0"/>
        </w:rPr>
        <w:t xml:space="preserve">Крупнейшие глиноземные заводы страны используют в качестве исходного сырья бокситы ряда месторождений (Бокситогорское, Североуральское, Тургайское, Северо-Онежское), в меньшей мере — нефелины Кольского полуострова, Красноярского края и других </w:t>
      </w:r>
      <w:r>
        <w:rPr>
          <w:snapToGrid w:val="0"/>
          <w:lang w:val="ru-RU"/>
        </w:rPr>
        <w:t>.</w:t>
      </w:r>
      <w:r>
        <w:rPr>
          <w:snapToGrid w:val="0"/>
        </w:rPr>
        <w:t xml:space="preserve"> При этом многие глиноземные заводы удалены от источников исходного сырья — хибинских нефелинов, тургайских бокситов и др.</w:t>
      </w:r>
    </w:p>
    <w:p w:rsidR="00DA04A4" w:rsidRDefault="00DA04A4">
      <w:pPr>
        <w:pStyle w:val="-2"/>
        <w:rPr>
          <w:snapToGrid w:val="0"/>
          <w:lang w:val="ru-RU"/>
        </w:rPr>
      </w:pPr>
      <w:r>
        <w:rPr>
          <w:snapToGrid w:val="0"/>
        </w:rPr>
        <w:t>Таким образом, единый технологический цикл добычи алюми</w:t>
      </w:r>
      <w:r>
        <w:rPr>
          <w:snapToGrid w:val="0"/>
        </w:rPr>
        <w:softHyphen/>
        <w:t>ниевого сырья (бокситы, нефелины), производства полупродукта (глинозем), выплавки самого алюминия, получения из него прока</w:t>
      </w:r>
      <w:r>
        <w:rPr>
          <w:snapToGrid w:val="0"/>
        </w:rPr>
        <w:softHyphen/>
        <w:t>та и, наконец, использования последнего в отраслях-потребителях оказался территориально в значительной степени разорванным. Высокая материалоемкость отдельных стадий цикла (около 2 т глинозема на 1 т алюминия, 2,5 т бокситов или 4—6 т нефелинов, не считая известняков, на 1 т глинозема) и их топливоемкость не помешали возникновению чрезвычайно дальних перевозок, особен</w:t>
      </w:r>
      <w:r>
        <w:rPr>
          <w:snapToGrid w:val="0"/>
        </w:rPr>
        <w:softHyphen/>
        <w:t>но глинозема, алюминия и изделий из него.</w:t>
      </w:r>
      <w:r>
        <w:rPr>
          <w:rStyle w:val="a4"/>
          <w:snapToGrid w:val="0"/>
        </w:rPr>
        <w:footnoteReference w:id="10"/>
      </w:r>
    </w:p>
    <w:p w:rsidR="00DA04A4" w:rsidRDefault="00DA04A4">
      <w:pPr>
        <w:pStyle w:val="-2"/>
        <w:rPr>
          <w:snapToGrid w:val="0"/>
          <w:lang w:val="ru-RU"/>
        </w:rPr>
      </w:pPr>
    </w:p>
    <w:p w:rsidR="00DA04A4" w:rsidRDefault="00DA04A4">
      <w:pPr>
        <w:pStyle w:val="-11"/>
        <w:rPr>
          <w:snapToGrid w:val="0"/>
        </w:rPr>
      </w:pPr>
      <w:bookmarkStart w:id="7" w:name="_Toc437260969"/>
      <w:r>
        <w:rPr>
          <w:snapToGrid w:val="0"/>
        </w:rPr>
        <w:t>Медная промышленность</w:t>
      </w:r>
      <w:bookmarkEnd w:id="7"/>
    </w:p>
    <w:p w:rsidR="00DA04A4" w:rsidRDefault="00DA04A4">
      <w:pPr>
        <w:pStyle w:val="-2"/>
        <w:rPr>
          <w:snapToGrid w:val="0"/>
          <w:lang w:val="ru-RU"/>
        </w:rPr>
      </w:pPr>
    </w:p>
    <w:p w:rsidR="00DA04A4" w:rsidRDefault="00DA04A4">
      <w:pPr>
        <w:pStyle w:val="-2"/>
        <w:rPr>
          <w:snapToGrid w:val="0"/>
        </w:rPr>
      </w:pPr>
      <w:r>
        <w:rPr>
          <w:snapToGrid w:val="0"/>
        </w:rPr>
        <w:t xml:space="preserve">В отличие от алюминиевой </w:t>
      </w:r>
      <w:r>
        <w:rPr>
          <w:i/>
          <w:snapToGrid w:val="0"/>
        </w:rPr>
        <w:t>медная промышленность</w:t>
      </w:r>
      <w:r>
        <w:rPr>
          <w:snapToGrid w:val="0"/>
        </w:rPr>
        <w:t xml:space="preserve"> по-прежне</w:t>
      </w:r>
      <w:r>
        <w:rPr>
          <w:snapToGrid w:val="0"/>
        </w:rPr>
        <w:softHyphen/>
        <w:t xml:space="preserve">му сохраняется в главных районах добычи руд. Изменились лишь роль отдельных районов и их специализация. </w:t>
      </w:r>
    </w:p>
    <w:p w:rsidR="00DA04A4" w:rsidRDefault="00DA04A4">
      <w:pPr>
        <w:pStyle w:val="-2"/>
        <w:rPr>
          <w:snapToGrid w:val="0"/>
        </w:rPr>
      </w:pPr>
      <w:r>
        <w:rPr>
          <w:snapToGrid w:val="0"/>
          <w:lang w:val="ru-RU"/>
        </w:rPr>
        <w:t xml:space="preserve">Важным </w:t>
      </w:r>
      <w:r>
        <w:rPr>
          <w:snapToGrid w:val="0"/>
        </w:rPr>
        <w:t>по значению районом медной промышленности являетс</w:t>
      </w:r>
      <w:r>
        <w:rPr>
          <w:snapToGrid w:val="0"/>
          <w:lang w:val="ru-RU"/>
        </w:rPr>
        <w:t xml:space="preserve">я </w:t>
      </w:r>
      <w:r>
        <w:rPr>
          <w:snapToGrid w:val="0"/>
        </w:rPr>
        <w:t>Уральский. Его сырьевой базой служат медноколчедановые руды Гайского, Красноуральского, Ревдинского, Блявинского и других месторождений. Однако они не могут обеспечить потребности Красноуральского, Кировоградского, Среднеуральского, Медногорского и других предприятий по выплавке меди. На Урале работа</w:t>
      </w:r>
      <w:r>
        <w:rPr>
          <w:snapToGrid w:val="0"/>
        </w:rPr>
        <w:softHyphen/>
        <w:t>ют специализированные заводы по рафинированию черновой меди (Верхнепышминский, Кыштымский), обусловливающие роль райо</w:t>
      </w:r>
      <w:r>
        <w:rPr>
          <w:snapToGrid w:val="0"/>
        </w:rPr>
        <w:softHyphen/>
        <w:t>на в производстве и поставках рафинированной меди в стране.</w:t>
      </w:r>
    </w:p>
    <w:p w:rsidR="00DA04A4" w:rsidRDefault="00DA04A4">
      <w:pPr>
        <w:pStyle w:val="-2"/>
        <w:rPr>
          <w:snapToGrid w:val="0"/>
          <w:lang w:val="ru-RU"/>
        </w:rPr>
      </w:pPr>
      <w:r>
        <w:rPr>
          <w:snapToGrid w:val="0"/>
        </w:rPr>
        <w:t>Медь производится на ряде новых предприятий в разных райо</w:t>
      </w:r>
      <w:r>
        <w:rPr>
          <w:snapToGrid w:val="0"/>
          <w:lang w:val="ru-RU"/>
        </w:rPr>
        <w:t>н</w:t>
      </w:r>
      <w:r>
        <w:rPr>
          <w:snapToGrid w:val="0"/>
        </w:rPr>
        <w:t>а</w:t>
      </w:r>
      <w:r>
        <w:rPr>
          <w:snapToGrid w:val="0"/>
          <w:lang w:val="ru-RU"/>
        </w:rPr>
        <w:t xml:space="preserve">х </w:t>
      </w:r>
      <w:r>
        <w:rPr>
          <w:snapToGrid w:val="0"/>
        </w:rPr>
        <w:t>страны: в Восточной Сибири (Норильск), в Северо-Западном</w:t>
      </w:r>
      <w:r>
        <w:rPr>
          <w:snapToGrid w:val="0"/>
          <w:lang w:val="ru-RU"/>
        </w:rPr>
        <w:t xml:space="preserve"> </w:t>
      </w:r>
      <w:r>
        <w:rPr>
          <w:snapToGrid w:val="0"/>
        </w:rPr>
        <w:t>районе (Мончегорск), где она является сопутствующим металлом при выплавке никеля, молибдена и дру</w:t>
      </w:r>
      <w:r>
        <w:rPr>
          <w:snapToGrid w:val="0"/>
        </w:rPr>
        <w:softHyphen/>
        <w:t>гих цветных металлов. Ряд предприятий по рафинированию и про</w:t>
      </w:r>
      <w:r>
        <w:rPr>
          <w:snapToGrid w:val="0"/>
        </w:rPr>
        <w:softHyphen/>
        <w:t>кату меди сложился вне районов получения черновой меди (Цент</w:t>
      </w:r>
      <w:r>
        <w:rPr>
          <w:snapToGrid w:val="0"/>
        </w:rPr>
        <w:softHyphen/>
        <w:t>ральный, Северо-Западный и др.).</w:t>
      </w:r>
    </w:p>
    <w:p w:rsidR="00DA04A4" w:rsidRDefault="00DA04A4">
      <w:pPr>
        <w:pStyle w:val="-2"/>
        <w:rPr>
          <w:snapToGrid w:val="0"/>
          <w:lang w:val="ru-RU"/>
        </w:rPr>
      </w:pPr>
    </w:p>
    <w:p w:rsidR="00DA04A4" w:rsidRDefault="00DA04A4">
      <w:pPr>
        <w:pStyle w:val="-11"/>
        <w:rPr>
          <w:snapToGrid w:val="0"/>
        </w:rPr>
      </w:pPr>
      <w:bookmarkStart w:id="8" w:name="_Toc437260970"/>
      <w:r>
        <w:rPr>
          <w:snapToGrid w:val="0"/>
        </w:rPr>
        <w:t>Свинцово-цинковая промышленность.</w:t>
      </w:r>
      <w:bookmarkEnd w:id="8"/>
    </w:p>
    <w:p w:rsidR="00DA04A4" w:rsidRDefault="00DA04A4">
      <w:pPr>
        <w:pStyle w:val="-2"/>
        <w:rPr>
          <w:snapToGrid w:val="0"/>
          <w:lang w:val="ru-RU"/>
        </w:rPr>
      </w:pPr>
    </w:p>
    <w:p w:rsidR="00DA04A4" w:rsidRDefault="00DA04A4">
      <w:pPr>
        <w:pStyle w:val="-2"/>
        <w:rPr>
          <w:snapToGrid w:val="0"/>
          <w:lang w:val="ru-RU"/>
        </w:rPr>
      </w:pPr>
      <w:r>
        <w:rPr>
          <w:i/>
          <w:snapToGrid w:val="0"/>
        </w:rPr>
        <w:t>Свинцово-цинковая промышленность</w:t>
      </w:r>
      <w:r>
        <w:rPr>
          <w:snapToGrid w:val="0"/>
        </w:rPr>
        <w:t xml:space="preserve"> основывается на комплекс</w:t>
      </w:r>
      <w:r>
        <w:rPr>
          <w:snapToGrid w:val="0"/>
        </w:rPr>
        <w:softHyphen/>
        <w:t>ной переработке разных по составу полиметаллических руд. На Ура</w:t>
      </w:r>
      <w:r>
        <w:rPr>
          <w:snapToGrid w:val="0"/>
        </w:rPr>
        <w:softHyphen/>
        <w:t>ле цинк содержится в медных рудах. В Западной Сибири руда Салаирского месторождения состоит преимущественно из цинка. Полиметаллические руды распространены на Северном Кавказе (Садон), в Забайкалье (Нерчинск), на Дальнем Востоке (Дальнегорск)</w:t>
      </w:r>
      <w:r>
        <w:rPr>
          <w:snapToGrid w:val="0"/>
          <w:lang w:val="ru-RU"/>
        </w:rPr>
        <w:t>.</w:t>
      </w:r>
    </w:p>
    <w:p w:rsidR="00DA04A4" w:rsidRDefault="00DA04A4">
      <w:pPr>
        <w:pStyle w:val="-2"/>
        <w:rPr>
          <w:snapToGrid w:val="0"/>
        </w:rPr>
      </w:pPr>
      <w:r>
        <w:rPr>
          <w:snapToGrid w:val="0"/>
        </w:rPr>
        <w:t>Технологический цикл переработки полиметаллических руд включает их добычу, обогащение, выделение рудных минералов (селективная флотация), получение разными методами металлов, рафинирование. Особенности технологического процесса переработ</w:t>
      </w:r>
      <w:r>
        <w:rPr>
          <w:snapToGrid w:val="0"/>
        </w:rPr>
        <w:softHyphen/>
        <w:t>ки руд разных месторождений сильно влияют на размещение про</w:t>
      </w:r>
      <w:r>
        <w:rPr>
          <w:snapToGrid w:val="0"/>
        </w:rPr>
        <w:softHyphen/>
        <w:t>изводства отдельных стадий получения цинка и свинца. Отличи</w:t>
      </w:r>
      <w:r>
        <w:rPr>
          <w:snapToGrid w:val="0"/>
        </w:rPr>
        <w:softHyphen/>
        <w:t>тельной чертой их размещения является территориальный разрыв отдельных стадий производственного цикла. Это связано с воз</w:t>
      </w:r>
      <w:r>
        <w:rPr>
          <w:snapToGrid w:val="0"/>
        </w:rPr>
        <w:softHyphen/>
        <w:t>можностью получать концентраты руд с высоким содержанием ме</w:t>
      </w:r>
      <w:r>
        <w:rPr>
          <w:snapToGrid w:val="0"/>
        </w:rPr>
        <w:softHyphen/>
        <w:t>талла (до 60—70%), что делает выгодным даже дальние их пере</w:t>
      </w:r>
      <w:r>
        <w:rPr>
          <w:snapToGrid w:val="0"/>
        </w:rPr>
        <w:softHyphen/>
        <w:t>возки. Для выплавки металлического свинца в отличие от цинка нужно относительно небольшое количество топлива. Разные мето</w:t>
      </w:r>
      <w:r>
        <w:rPr>
          <w:snapToGrid w:val="0"/>
        </w:rPr>
        <w:softHyphen/>
        <w:t>ды получения цинка требуют использования или преимущественно электрической энергии, или технологического топлива. Металличе</w:t>
      </w:r>
      <w:r>
        <w:rPr>
          <w:snapToGrid w:val="0"/>
        </w:rPr>
        <w:softHyphen/>
        <w:t>ский передел цинка и свинца заканчивается рафинированием чер</w:t>
      </w:r>
      <w:r>
        <w:rPr>
          <w:snapToGrid w:val="0"/>
        </w:rPr>
        <w:softHyphen/>
        <w:t>нового металла.</w:t>
      </w:r>
    </w:p>
    <w:p w:rsidR="00DA04A4" w:rsidRDefault="00DA04A4">
      <w:pPr>
        <w:pStyle w:val="-2"/>
        <w:rPr>
          <w:snapToGrid w:val="0"/>
        </w:rPr>
      </w:pPr>
      <w:r>
        <w:rPr>
          <w:snapToGrid w:val="0"/>
        </w:rPr>
        <w:t>Полный цикл получения этих металлов имеет место на Северном Кавказе (Садон)</w:t>
      </w:r>
      <w:r>
        <w:rPr>
          <w:snapToGrid w:val="0"/>
          <w:lang w:val="ru-RU"/>
        </w:rPr>
        <w:t>.</w:t>
      </w:r>
      <w:r>
        <w:rPr>
          <w:snapToGrid w:val="0"/>
        </w:rPr>
        <w:t xml:space="preserve"> Кро</w:t>
      </w:r>
      <w:r>
        <w:rPr>
          <w:snapToGrid w:val="0"/>
        </w:rPr>
        <w:softHyphen/>
        <w:t>ме того, Садон производит и концентраты руд этих металлов. В За</w:t>
      </w:r>
      <w:r>
        <w:rPr>
          <w:snapToGrid w:val="0"/>
        </w:rPr>
        <w:softHyphen/>
        <w:t>падной Сибири выплавляется цинк и производится свинцовый кон</w:t>
      </w:r>
      <w:r>
        <w:rPr>
          <w:snapToGrid w:val="0"/>
        </w:rPr>
        <w:softHyphen/>
        <w:t>центрат, в Тетюхе на Дальнем Востоке—свинец и цинковый кон</w:t>
      </w:r>
      <w:r>
        <w:rPr>
          <w:snapToGrid w:val="0"/>
        </w:rPr>
        <w:softHyphen/>
        <w:t>центрат. Цинковые и свинцовые концентраты производятся в Нерчинске (Восточная Сибирь), а цинковые</w:t>
      </w:r>
      <w:r>
        <w:rPr>
          <w:snapToGrid w:val="0"/>
          <w:lang w:val="ru-RU"/>
        </w:rPr>
        <w:t xml:space="preserve"> </w:t>
      </w:r>
      <w:r>
        <w:rPr>
          <w:snapToGrid w:val="0"/>
        </w:rPr>
        <w:t>—</w:t>
      </w:r>
      <w:r>
        <w:rPr>
          <w:snapToGrid w:val="0"/>
          <w:lang w:val="ru-RU"/>
        </w:rPr>
        <w:t xml:space="preserve"> </w:t>
      </w:r>
      <w:r>
        <w:rPr>
          <w:snapToGrid w:val="0"/>
        </w:rPr>
        <w:t>на Среднеуральском заводе. На привозных концентратах работает Челябинский за</w:t>
      </w:r>
      <w:r>
        <w:rPr>
          <w:snapToGrid w:val="0"/>
        </w:rPr>
        <w:softHyphen/>
        <w:t>вод на Урале.</w:t>
      </w:r>
      <w:r>
        <w:rPr>
          <w:rStyle w:val="a4"/>
          <w:snapToGrid w:val="0"/>
        </w:rPr>
        <w:footnoteReference w:id="11"/>
      </w:r>
    </w:p>
    <w:p w:rsidR="00DA04A4" w:rsidRDefault="00DA04A4">
      <w:pPr>
        <w:pStyle w:val="-2"/>
        <w:rPr>
          <w:snapToGrid w:val="0"/>
        </w:rPr>
      </w:pPr>
      <w:r>
        <w:rPr>
          <w:i/>
          <w:snapToGrid w:val="0"/>
        </w:rPr>
        <w:t>Магниевое</w:t>
      </w:r>
      <w:r>
        <w:rPr>
          <w:snapToGrid w:val="0"/>
        </w:rPr>
        <w:t xml:space="preserve"> сырье (магнезит, доломит, карналлит и др.) широко распространено на Урале, в Восточной Сибири и в других районах. Особенностью получения металлического магния</w:t>
      </w:r>
      <w:r>
        <w:rPr>
          <w:snapToGrid w:val="0"/>
          <w:lang w:val="ru-RU"/>
        </w:rPr>
        <w:t xml:space="preserve"> </w:t>
      </w:r>
      <w:r>
        <w:rPr>
          <w:snapToGrid w:val="0"/>
        </w:rPr>
        <w:t>является очень большой расход электроэнергии — до 20 тыс. кВт •ч на 1 т. Первые заводы по производству магния разместились у источников сырья (Березниковский и Соликамский магниевые за</w:t>
      </w:r>
      <w:r>
        <w:rPr>
          <w:snapToGrid w:val="0"/>
        </w:rPr>
        <w:softHyphen/>
        <w:t>воды). В послевоенные годы магниевые заводы сооружались у источников дешевой энергии</w:t>
      </w:r>
      <w:r>
        <w:rPr>
          <w:snapToGrid w:val="0"/>
          <w:lang w:val="ru-RU"/>
        </w:rPr>
        <w:t>.</w:t>
      </w:r>
      <w:r>
        <w:rPr>
          <w:snapToGrid w:val="0"/>
        </w:rPr>
        <w:t xml:space="preserve"> На базе комплексного использования сырья возникло производство магния на Калушском химико-металлургическом комбинате.</w:t>
      </w:r>
    </w:p>
    <w:p w:rsidR="00DA04A4" w:rsidRDefault="00DA04A4">
      <w:pPr>
        <w:pStyle w:val="-2"/>
        <w:rPr>
          <w:snapToGrid w:val="0"/>
        </w:rPr>
      </w:pPr>
      <w:r>
        <w:rPr>
          <w:snapToGrid w:val="0"/>
        </w:rPr>
        <w:t xml:space="preserve">Еще большее значение, чем магний, в современной авиационной и космической технике приобретает </w:t>
      </w:r>
      <w:r>
        <w:rPr>
          <w:i/>
          <w:snapToGrid w:val="0"/>
        </w:rPr>
        <w:t>титан.</w:t>
      </w:r>
      <w:r>
        <w:rPr>
          <w:snapToGrid w:val="0"/>
        </w:rPr>
        <w:t xml:space="preserve"> Месторождения титано</w:t>
      </w:r>
      <w:r>
        <w:rPr>
          <w:snapToGrid w:val="0"/>
        </w:rPr>
        <w:softHyphen/>
        <w:t>вых руд имеются на Урале, Кольском полуострове, в Западной Сибири (титано-магнетиты и иль</w:t>
      </w:r>
      <w:r>
        <w:rPr>
          <w:snapToGrid w:val="0"/>
        </w:rPr>
        <w:softHyphen/>
        <w:t>мениты). Электроемкость получения титана еще более высокая, чем магния (свыше 20 тыс. кВт-ч). Предприятия по его производ</w:t>
      </w:r>
      <w:r>
        <w:rPr>
          <w:snapToGrid w:val="0"/>
        </w:rPr>
        <w:softHyphen/>
        <w:t>ству сразу складывались у источников дешевой энергии на привоз</w:t>
      </w:r>
      <w:r>
        <w:rPr>
          <w:snapToGrid w:val="0"/>
        </w:rPr>
        <w:softHyphen/>
        <w:t>ном сырье и концентратах.</w:t>
      </w:r>
    </w:p>
    <w:p w:rsidR="00DA04A4" w:rsidRDefault="00DA04A4">
      <w:pPr>
        <w:pStyle w:val="-2"/>
        <w:rPr>
          <w:snapToGrid w:val="0"/>
        </w:rPr>
      </w:pPr>
      <w:r>
        <w:rPr>
          <w:snapToGrid w:val="0"/>
          <w:lang w:val="ru-RU"/>
        </w:rPr>
        <w:t>Россия</w:t>
      </w:r>
      <w:r>
        <w:rPr>
          <w:snapToGrid w:val="0"/>
        </w:rPr>
        <w:t xml:space="preserve">—одна из стран, в которых развито </w:t>
      </w:r>
      <w:r>
        <w:rPr>
          <w:i/>
          <w:snapToGrid w:val="0"/>
        </w:rPr>
        <w:t>про</w:t>
      </w:r>
      <w:r>
        <w:rPr>
          <w:i/>
          <w:snapToGrid w:val="0"/>
        </w:rPr>
        <w:softHyphen/>
        <w:t>изводство никеля.</w:t>
      </w:r>
      <w:r>
        <w:rPr>
          <w:snapToGrid w:val="0"/>
        </w:rPr>
        <w:t xml:space="preserve"> Месторождения сульфидных медно-</w:t>
      </w:r>
      <w:r>
        <w:rPr>
          <w:snapToGrid w:val="0"/>
          <w:lang w:val="ru-RU"/>
        </w:rPr>
        <w:t>н</w:t>
      </w:r>
      <w:r>
        <w:rPr>
          <w:snapToGrid w:val="0"/>
        </w:rPr>
        <w:t>икелевых руд сосредоточены на Кольском полуострове (Мончегорск, Печенга-никель) и в Восточной Сибири (Норильск), где выявлено круп</w:t>
      </w:r>
      <w:r>
        <w:rPr>
          <w:snapToGrid w:val="0"/>
        </w:rPr>
        <w:softHyphen/>
        <w:t>ное Талнахское месторождение. Другой вид окисленных никелевых руд разрабатывается на Урале (Режское, Уфалейское, Орское). Обогащение и переработка никелевых руд наиболее сложны в цветной металлургии из-за низкого содержания металла в сырье, большого расхода топлива, многостадийности процесса, наличия нескольких компонентов (сера, медь, кобальт и др.). В местах до</w:t>
      </w:r>
      <w:r>
        <w:rPr>
          <w:snapToGrid w:val="0"/>
        </w:rPr>
        <w:softHyphen/>
        <w:t>бычи никелевых руд разместились и предприятия по получению ме</w:t>
      </w:r>
      <w:r>
        <w:rPr>
          <w:snapToGrid w:val="0"/>
        </w:rPr>
        <w:softHyphen/>
        <w:t>талла.</w:t>
      </w:r>
    </w:p>
    <w:p w:rsidR="00DA04A4" w:rsidRDefault="00DA04A4">
      <w:pPr>
        <w:pStyle w:val="-2"/>
        <w:rPr>
          <w:snapToGrid w:val="0"/>
        </w:rPr>
      </w:pPr>
      <w:r>
        <w:rPr>
          <w:snapToGrid w:val="0"/>
        </w:rPr>
        <w:t xml:space="preserve">В отличие от никеля </w:t>
      </w:r>
      <w:r>
        <w:rPr>
          <w:i/>
          <w:snapToGrid w:val="0"/>
        </w:rPr>
        <w:t>выплавка олова</w:t>
      </w:r>
      <w:r>
        <w:rPr>
          <w:snapToGrid w:val="0"/>
        </w:rPr>
        <w:t xml:space="preserve"> оторвана от месторожде</w:t>
      </w:r>
      <w:r>
        <w:rPr>
          <w:snapToGrid w:val="0"/>
        </w:rPr>
        <w:softHyphen/>
        <w:t>ний руд (касситериты) в Читинской области, на Дальнем Востоке, в Магаданской области. Бедные, с небольшим содержанием олова, руды (чаще до 1 % ) обогащают</w:t>
      </w:r>
      <w:r>
        <w:rPr>
          <w:snapToGrid w:val="0"/>
        </w:rPr>
        <w:softHyphen/>
        <w:t>ся на месте до концентрата с 65% металла. Эти концентраты пере</w:t>
      </w:r>
      <w:r>
        <w:rPr>
          <w:snapToGrid w:val="0"/>
        </w:rPr>
        <w:softHyphen/>
        <w:t>возятся на большие расстояния в Западную Сибирь (Новосибирск), на Урал и в другие районы, где подвергаются металлургическому переделу.</w:t>
      </w:r>
    </w:p>
    <w:p w:rsidR="00DA04A4" w:rsidRDefault="00DA04A4">
      <w:pPr>
        <w:pStyle w:val="-2"/>
        <w:rPr>
          <w:lang w:val="ru-RU"/>
        </w:rPr>
      </w:pPr>
    </w:p>
    <w:p w:rsidR="00DA04A4" w:rsidRDefault="00DA04A4">
      <w:pPr>
        <w:pStyle w:val="-2"/>
        <w:rPr>
          <w:lang w:val="ru-RU"/>
        </w:rPr>
      </w:pPr>
    </w:p>
    <w:p w:rsidR="00DA04A4" w:rsidRDefault="00DA04A4">
      <w:pPr>
        <w:pStyle w:val="-2"/>
        <w:rPr>
          <w:lang w:val="ru-RU"/>
        </w:rPr>
      </w:pPr>
    </w:p>
    <w:p w:rsidR="00DA04A4" w:rsidRDefault="00DA04A4">
      <w:pPr>
        <w:pStyle w:val="-2"/>
        <w:rPr>
          <w:lang w:val="ru-RU"/>
        </w:rPr>
      </w:pPr>
    </w:p>
    <w:p w:rsidR="00DA04A4" w:rsidRDefault="00DA04A4">
      <w:pPr>
        <w:pStyle w:val="-2"/>
        <w:rPr>
          <w:lang w:val="ru-RU"/>
        </w:rPr>
      </w:pPr>
    </w:p>
    <w:p w:rsidR="00DA04A4" w:rsidRDefault="00DA04A4">
      <w:pPr>
        <w:pStyle w:val="-10"/>
        <w:rPr>
          <w:snapToGrid w:val="0"/>
        </w:rPr>
      </w:pPr>
      <w:bookmarkStart w:id="9" w:name="_Toc437260971"/>
      <w:r>
        <w:rPr>
          <w:snapToGrid w:val="0"/>
        </w:rPr>
        <w:t>Вариантный прогноз развития цветной металлургии по регионам.</w:t>
      </w:r>
      <w:bookmarkEnd w:id="9"/>
      <w:r>
        <w:rPr>
          <w:snapToGrid w:val="0"/>
        </w:rPr>
        <w:t xml:space="preserve"> </w:t>
      </w:r>
    </w:p>
    <w:p w:rsidR="00DA04A4" w:rsidRDefault="00DA04A4">
      <w:pPr>
        <w:pStyle w:val="-2"/>
        <w:rPr>
          <w:snapToGrid w:val="0"/>
          <w:lang w:val="ru-RU"/>
        </w:rPr>
      </w:pPr>
    </w:p>
    <w:p w:rsidR="00DA04A4" w:rsidRDefault="00DA04A4">
      <w:pPr>
        <w:pStyle w:val="-2"/>
        <w:rPr>
          <w:snapToGrid w:val="0"/>
        </w:rPr>
      </w:pPr>
      <w:r>
        <w:rPr>
          <w:snapToGrid w:val="0"/>
        </w:rPr>
        <w:t>Перспективы дальнейшего развития экономики России в решающей мере зависят от того, какой из двух в принципе возможных вариантов будет избран: либо продолжится нынешний — рыночный курс со слабым и практически безуспешным вмешательством государства в экономику, либо хватит сил и решимости встать на путь управляемого экономического прогресса. Исходя из этой главной альтернативы, Институт народнохозяйственного прогнозирования РАН разработал вариантный прогноз динамики российской экономики и изменений ее структуры в разрезе крупных экономических регионов до 2000 г. Актуальность регионального аспекта макроструктурного прогноза сегодня особенно высока, ибо в условиях рыночной эволюции регионы России оказались в существенно различной ситуации.</w:t>
      </w:r>
    </w:p>
    <w:p w:rsidR="00DA04A4" w:rsidRDefault="00DA04A4">
      <w:pPr>
        <w:pStyle w:val="-2"/>
        <w:rPr>
          <w:snapToGrid w:val="0"/>
        </w:rPr>
      </w:pPr>
      <w:r>
        <w:rPr>
          <w:i/>
          <w:snapToGrid w:val="0"/>
        </w:rPr>
        <w:t>Первый вариант</w:t>
      </w:r>
      <w:r>
        <w:rPr>
          <w:snapToGrid w:val="0"/>
        </w:rPr>
        <w:t xml:space="preserve"> прогноза ориентировался на то, что и регионы, и Россия в целом продолжат следование нынешнему курсу. </w:t>
      </w:r>
      <w:r>
        <w:rPr>
          <w:i/>
          <w:snapToGrid w:val="0"/>
        </w:rPr>
        <w:t>Второй вариант</w:t>
      </w:r>
      <w:r>
        <w:rPr>
          <w:snapToGrid w:val="0"/>
        </w:rPr>
        <w:t xml:space="preserve"> строился на оценках, вытекающих из условий возможного перехода экономики к управляемому развитию.</w:t>
      </w:r>
    </w:p>
    <w:p w:rsidR="00DA04A4" w:rsidRDefault="00DA04A4">
      <w:pPr>
        <w:pStyle w:val="-2"/>
        <w:rPr>
          <w:snapToGrid w:val="0"/>
        </w:rPr>
      </w:pPr>
      <w:r>
        <w:rPr>
          <w:snapToGrid w:val="0"/>
        </w:rPr>
        <w:t>При разработке прогноза прежде всего были определены некоторые экзогенные факторы, оказывающие решающее влияние на перспективу развития российской экономики. Важнейшей чертой нынешнего кризиса российской экономики является резкое падение уров</w:t>
      </w:r>
      <w:r>
        <w:rPr>
          <w:snapToGrid w:val="0"/>
        </w:rPr>
        <w:softHyphen/>
        <w:t>ня инвестиционной активности; известно, что за 1991—1995 гг. объемы капиталовложений со</w:t>
      </w:r>
      <w:r>
        <w:rPr>
          <w:snapToGrid w:val="0"/>
        </w:rPr>
        <w:softHyphen/>
        <w:t>кратились более чем в три раза, а инвестиции в производственную сферу — в четыре раза. Если в 1990 г. капиталовложения составляли 31 % используемого конечного продукта, то к 1995 г. их доля снизилась до 18%. По первому варианту прогноза предполагается продолжение тенденции к сокращению доли капиталовложений в конечном продукте: с 18% в 1995 г. до 13 в 2000 г. В варианте управляемого развития предполагается некоторое повышение этой доли — до 20%.</w:t>
      </w:r>
      <w:r>
        <w:rPr>
          <w:rStyle w:val="a4"/>
          <w:snapToGrid w:val="0"/>
        </w:rPr>
        <w:footnoteReference w:id="12"/>
      </w:r>
    </w:p>
    <w:p w:rsidR="00DA04A4" w:rsidRDefault="00DA04A4">
      <w:pPr>
        <w:pStyle w:val="-2"/>
        <w:rPr>
          <w:snapToGrid w:val="0"/>
        </w:rPr>
      </w:pPr>
      <w:r>
        <w:rPr>
          <w:snapToGrid w:val="0"/>
        </w:rPr>
        <w:t>Одна из существенных причин экономического спада в России состоит в том, что новые собственники не заинтересованы в использовании своих капиталов внутри страны, а стремятся в максимально возможной степени вывезти их за границу. Это проявляется в резком увеличении положительного сальдо внешнеторгового баланса со странами «дальнего зарубежья». По нашим расчетам, в 1990 г. сальдо внешнеторгового баланса Российской Федерации составляло примерно 17 млрд. инвалютных рублей (во внешнеторговых ценах 1989 г.), или 2% валового общественного продукта. В основном такое положение обусловливалось оказанием поддержки другим союзным республикам СССР. К 1995 г. сальдо внешнеторгового баланса России со странами СНГ свелось практически к нулю, а со странами «дальнего зарубежья» —стало положительным, достигнув 27,6 млрд. инвалютных рублей, т.е. 6,4% валового продукта. Превышение экспорта над импортом в 1995 г. составило 21,6 млрд., а в 1996 г. — 29 млрд. долл. Иначе говоря, 40% российского экспорта не компенсировалось импортом.</w:t>
      </w:r>
    </w:p>
    <w:p w:rsidR="00DA04A4" w:rsidRDefault="00DA04A4">
      <w:pPr>
        <w:pStyle w:val="-2"/>
        <w:rPr>
          <w:snapToGrid w:val="0"/>
        </w:rPr>
      </w:pPr>
      <w:r>
        <w:rPr>
          <w:snapToGrid w:val="0"/>
        </w:rPr>
        <w:t>В прогнозных расчетах первого варианта мы исходили из того, что в период до 2000 г. характер внешних отношений России практически не изменится, и положительное сальдо внешне</w:t>
      </w:r>
      <w:r>
        <w:rPr>
          <w:snapToGrid w:val="0"/>
        </w:rPr>
        <w:softHyphen/>
        <w:t>торгового баланса со странами «дальнего зарубежья» будет составлять не менее 7% валового продукта. Во втором (управляемом) варианте предполагается, что современное огромное поло</w:t>
      </w:r>
      <w:r>
        <w:rPr>
          <w:snapToGrid w:val="0"/>
        </w:rPr>
        <w:softHyphen/>
        <w:t>жительное сальдо с этими странами резко, не менее чем в 1,5 раза, сократится и составит в 2000 г. около 4% валового общественного продукта.</w:t>
      </w:r>
    </w:p>
    <w:p w:rsidR="00DA04A4" w:rsidRDefault="00DA04A4">
      <w:pPr>
        <w:pStyle w:val="-2"/>
        <w:rPr>
          <w:snapToGrid w:val="0"/>
        </w:rPr>
      </w:pPr>
      <w:r>
        <w:rPr>
          <w:snapToGrid w:val="0"/>
        </w:rPr>
        <w:t>Было предусмотрено изменение уровня и структуры материальных затрат на производство продукции важнейших отраслей народного хозяйства, обусловленное переходом от падающей к стабилизирующейся или даже к растущей экономике. В этой связи предполагается значительное замедление роста энергоемкости производства, особенно в так</w:t>
      </w:r>
      <w:r>
        <w:rPr>
          <w:snapToGrid w:val="0"/>
          <w:lang w:val="ru-RU"/>
        </w:rPr>
        <w:t>ой</w:t>
      </w:r>
      <w:r>
        <w:rPr>
          <w:snapToGrid w:val="0"/>
        </w:rPr>
        <w:t xml:space="preserve"> отрасл</w:t>
      </w:r>
      <w:r>
        <w:rPr>
          <w:snapToGrid w:val="0"/>
          <w:lang w:val="ru-RU"/>
        </w:rPr>
        <w:t>и</w:t>
      </w:r>
      <w:r>
        <w:rPr>
          <w:snapToGrid w:val="0"/>
        </w:rPr>
        <w:t>, как цветная металлургия</w:t>
      </w:r>
      <w:r>
        <w:rPr>
          <w:b/>
          <w:snapToGrid w:val="0"/>
        </w:rPr>
        <w:t>.</w:t>
      </w:r>
      <w:r>
        <w:rPr>
          <w:snapToGrid w:val="0"/>
        </w:rPr>
        <w:t xml:space="preserve"> Учитывалось и изменение тенденций отраслевой структуры отдельных элементов конечного продукта. Так, в структурефонда потребления предполагалось прекращениеростадоли продуктов питания; в технологической структуре капиталовложений — повышение доли оборудования.</w:t>
      </w:r>
    </w:p>
    <w:p w:rsidR="00DA04A4" w:rsidRDefault="00DA04A4">
      <w:pPr>
        <w:pStyle w:val="-2"/>
        <w:rPr>
          <w:snapToGrid w:val="0"/>
        </w:rPr>
      </w:pPr>
      <w:r>
        <w:rPr>
          <w:snapToGrid w:val="0"/>
        </w:rPr>
        <w:t>Все вышеуказанные факторы экзогенно прогнозировались для каждого из 11 крупных эко</w:t>
      </w:r>
      <w:r>
        <w:rPr>
          <w:snapToGrid w:val="0"/>
        </w:rPr>
        <w:softHyphen/>
        <w:t>номических регионов России. Исходя из этих задаваемых для каждого региона параметров и ограничений с помощью оптимизационных межотраслевых моделей определялась сбалансирован</w:t>
      </w:r>
      <w:r>
        <w:rPr>
          <w:snapToGrid w:val="0"/>
        </w:rPr>
        <w:softHyphen/>
        <w:t>ная система основных экономических показателей регионов и России в целом.</w:t>
      </w:r>
    </w:p>
    <w:p w:rsidR="00DA04A4" w:rsidRDefault="00DA04A4">
      <w:pPr>
        <w:pStyle w:val="-2"/>
        <w:rPr>
          <w:snapToGrid w:val="0"/>
        </w:rPr>
      </w:pPr>
      <w:r>
        <w:rPr>
          <w:snapToGrid w:val="0"/>
        </w:rPr>
        <w:t>Экономические реформы резко ухудшили отраслевую структуру российской экономики, усилили ее топливно-сырьевую ориентацию. Если в дореформенный период в структуре общест</w:t>
      </w:r>
      <w:r>
        <w:rPr>
          <w:snapToGrid w:val="0"/>
        </w:rPr>
        <w:softHyphen/>
        <w:t>венного производства доля отраслей обрабатывающей промышленности повышалась, а доля топливно-сырьевых и входящих в аграрно-промышленный комплекс — снижалась, то в 1991— 1995 гг. ситуация стала прямо противоположной.</w:t>
      </w:r>
    </w:p>
    <w:p w:rsidR="00DA04A4" w:rsidRDefault="00DA04A4">
      <w:pPr>
        <w:pStyle w:val="-2"/>
        <w:rPr>
          <w:snapToGrid w:val="0"/>
        </w:rPr>
      </w:pPr>
      <w:r>
        <w:rPr>
          <w:snapToGrid w:val="0"/>
        </w:rPr>
        <w:t>В 1 квартале 1998 г. промышленностью России произведено продукции (работ, услуг) в действующих ценах на сумму 401 млрд. рублей. Индекс физического объема произведенной продукции по сравнению с 1 кварталом 1997 г. составил 101,3%.</w:t>
      </w:r>
      <w:r>
        <w:rPr>
          <w:rStyle w:val="a4"/>
          <w:snapToGrid w:val="0"/>
        </w:rPr>
        <w:footnoteReference w:id="13"/>
      </w:r>
    </w:p>
    <w:p w:rsidR="00DA04A4" w:rsidRDefault="00DA04A4">
      <w:pPr>
        <w:pStyle w:val="-2"/>
        <w:rPr>
          <w:snapToGrid w:val="0"/>
        </w:rPr>
      </w:pPr>
      <w:r>
        <w:rPr>
          <w:snapToGrid w:val="0"/>
        </w:rPr>
        <w:t xml:space="preserve">По </w:t>
      </w:r>
      <w:r>
        <w:rPr>
          <w:snapToGrid w:val="0"/>
          <w:lang w:val="ru-RU"/>
        </w:rPr>
        <w:t xml:space="preserve">цветной металлургии </w:t>
      </w:r>
      <w:r>
        <w:rPr>
          <w:snapToGrid w:val="0"/>
        </w:rPr>
        <w:t xml:space="preserve"> динамика производства характеризуется следующими данными (табл. 1).</w:t>
      </w:r>
      <w:r>
        <w:rPr>
          <w:rStyle w:val="a4"/>
          <w:snapToGrid w:val="0"/>
        </w:rPr>
        <w:footnoteReference w:id="14"/>
      </w:r>
    </w:p>
    <w:p w:rsidR="00DA04A4" w:rsidRDefault="00DA04A4">
      <w:pPr>
        <w:pStyle w:val="-2"/>
        <w:rPr>
          <w:snapToGrid w:val="0"/>
          <w:lang w:val="ru-RU"/>
        </w:rPr>
      </w:pPr>
    </w:p>
    <w:p w:rsidR="00DA04A4" w:rsidRDefault="00DA04A4">
      <w:pPr>
        <w:pStyle w:val="-2"/>
        <w:jc w:val="center"/>
        <w:rPr>
          <w:snapToGrid w:val="0"/>
          <w:lang w:val="ru-RU"/>
        </w:rPr>
      </w:pPr>
      <w:r>
        <w:rPr>
          <w:snapToGrid w:val="0"/>
        </w:rPr>
        <w:t>Динамика промышленного производства</w:t>
      </w:r>
    </w:p>
    <w:p w:rsidR="00DA04A4" w:rsidRDefault="00DA04A4">
      <w:pPr>
        <w:pStyle w:val="-2"/>
        <w:jc w:val="right"/>
        <w:rPr>
          <w:snapToGrid w:val="0"/>
          <w:lang w:val="ru-RU"/>
        </w:rPr>
      </w:pPr>
      <w:r>
        <w:rPr>
          <w:snapToGrid w:val="0"/>
        </w:rPr>
        <w:t>Таблиц</w:t>
      </w:r>
      <w:r>
        <w:t>а</w:t>
      </w:r>
      <w:r>
        <w:rPr>
          <w:snapToGrid w:val="0"/>
        </w:rPr>
        <w:t xml:space="preserve"> 1</w:t>
      </w:r>
    </w:p>
    <w:tbl>
      <w:tblPr>
        <w:tblW w:w="0" w:type="auto"/>
        <w:tblInd w:w="-8" w:type="dxa"/>
        <w:tblLayout w:type="fixed"/>
        <w:tblCellMar>
          <w:left w:w="40" w:type="dxa"/>
          <w:right w:w="40" w:type="dxa"/>
        </w:tblCellMar>
        <w:tblLook w:val="0000" w:firstRow="0" w:lastRow="0" w:firstColumn="0" w:lastColumn="0" w:noHBand="0" w:noVBand="0"/>
      </w:tblPr>
      <w:tblGrid>
        <w:gridCol w:w="2268"/>
        <w:gridCol w:w="1701"/>
        <w:gridCol w:w="35"/>
        <w:gridCol w:w="1666"/>
        <w:gridCol w:w="1807"/>
        <w:gridCol w:w="36"/>
        <w:gridCol w:w="1701"/>
      </w:tblGrid>
      <w:tr w:rsidR="00DA04A4">
        <w:trPr>
          <w:cantSplit/>
          <w:trHeight w:val="200"/>
        </w:trPr>
        <w:tc>
          <w:tcPr>
            <w:tcW w:w="2268" w:type="dxa"/>
            <w:vMerge w:val="restart"/>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rPr>
            </w:pPr>
          </w:p>
        </w:tc>
        <w:tc>
          <w:tcPr>
            <w:tcW w:w="3402" w:type="dxa"/>
            <w:gridSpan w:val="3"/>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rPr>
            </w:pPr>
            <w:r>
              <w:rPr>
                <w:snapToGrid w:val="0"/>
              </w:rPr>
              <w:t>Март 1998 г. в % к марту 1997 г.</w:t>
            </w:r>
          </w:p>
        </w:tc>
        <w:tc>
          <w:tcPr>
            <w:tcW w:w="3544" w:type="dxa"/>
            <w:gridSpan w:val="3"/>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rPr>
            </w:pPr>
            <w:r>
              <w:rPr>
                <w:snapToGrid w:val="0"/>
              </w:rPr>
              <w:t>1 квартал 1998 г. в % к 1 кварталу 1997 г.</w:t>
            </w:r>
          </w:p>
        </w:tc>
      </w:tr>
      <w:tr w:rsidR="00DA04A4">
        <w:trPr>
          <w:cantSplit/>
          <w:trHeight w:val="220"/>
        </w:trPr>
        <w:tc>
          <w:tcPr>
            <w:tcW w:w="2268" w:type="dxa"/>
            <w:vMerge/>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16"/>
              </w:rPr>
            </w:pPr>
          </w:p>
        </w:tc>
        <w:tc>
          <w:tcPr>
            <w:tcW w:w="1736"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rPr>
            </w:pPr>
            <w:r>
              <w:rPr>
                <w:snapToGrid w:val="0"/>
              </w:rPr>
              <w:t>фактически</w:t>
            </w:r>
          </w:p>
        </w:tc>
        <w:tc>
          <w:tcPr>
            <w:tcW w:w="1666"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rPr>
            </w:pPr>
            <w:r>
              <w:rPr>
                <w:snapToGrid w:val="0"/>
              </w:rPr>
              <w:t>с учетом исключения влияния фонда рабо</w:t>
            </w:r>
            <w:r>
              <w:rPr>
                <w:snapToGrid w:val="0"/>
              </w:rPr>
              <w:softHyphen/>
              <w:t>чего времени</w:t>
            </w:r>
          </w:p>
        </w:tc>
        <w:tc>
          <w:tcPr>
            <w:tcW w:w="1807"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rPr>
            </w:pPr>
            <w:r>
              <w:rPr>
                <w:snapToGrid w:val="0"/>
              </w:rPr>
              <w:t>фактически</w:t>
            </w:r>
          </w:p>
        </w:tc>
        <w:tc>
          <w:tcPr>
            <w:tcW w:w="1737"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rPr>
            </w:pPr>
            <w:r>
              <w:rPr>
                <w:snapToGrid w:val="0"/>
              </w:rPr>
              <w:t>с учетом исключения влияния фонда рабо</w:t>
            </w:r>
            <w:r>
              <w:rPr>
                <w:snapToGrid w:val="0"/>
              </w:rPr>
              <w:softHyphen/>
              <w:t>чего времени</w:t>
            </w:r>
          </w:p>
        </w:tc>
      </w:tr>
      <w:tr w:rsidR="00DA04A4">
        <w:trPr>
          <w:trHeight w:val="200"/>
        </w:trPr>
        <w:tc>
          <w:tcPr>
            <w:tcW w:w="2268"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rPr>
            </w:pPr>
            <w:r>
              <w:rPr>
                <w:snapToGrid w:val="0"/>
              </w:rPr>
              <w:t xml:space="preserve">цветная металлургия </w:t>
            </w:r>
          </w:p>
        </w:tc>
        <w:tc>
          <w:tcPr>
            <w:tcW w:w="1701"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rPr>
            </w:pPr>
            <w:r>
              <w:rPr>
                <w:snapToGrid w:val="0"/>
              </w:rPr>
              <w:t>106,7</w:t>
            </w:r>
          </w:p>
        </w:tc>
        <w:tc>
          <w:tcPr>
            <w:tcW w:w="1701"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rPr>
            </w:pPr>
            <w:r>
              <w:rPr>
                <w:snapToGrid w:val="0"/>
              </w:rPr>
              <w:t>106</w:t>
            </w:r>
            <w:r>
              <w:rPr>
                <w:snapToGrid w:val="0"/>
                <w:lang w:val="ru-RU"/>
              </w:rPr>
              <w:t>,</w:t>
            </w:r>
            <w:r>
              <w:rPr>
                <w:snapToGrid w:val="0"/>
              </w:rPr>
              <w:t>2</w:t>
            </w:r>
          </w:p>
        </w:tc>
        <w:tc>
          <w:tcPr>
            <w:tcW w:w="1843"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rPr>
            </w:pPr>
            <w:r>
              <w:rPr>
                <w:snapToGrid w:val="0"/>
              </w:rPr>
              <w:t>112,3</w:t>
            </w:r>
          </w:p>
        </w:tc>
        <w:tc>
          <w:tcPr>
            <w:tcW w:w="1701"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rPr>
            </w:pPr>
            <w:r>
              <w:rPr>
                <w:snapToGrid w:val="0"/>
              </w:rPr>
              <w:t>112,3</w:t>
            </w:r>
          </w:p>
        </w:tc>
      </w:tr>
    </w:tbl>
    <w:p w:rsidR="00DA04A4" w:rsidRDefault="00DA04A4">
      <w:pPr>
        <w:pStyle w:val="-2"/>
        <w:rPr>
          <w:snapToGrid w:val="0"/>
          <w:lang w:val="ru-RU"/>
        </w:rPr>
      </w:pPr>
    </w:p>
    <w:p w:rsidR="00DA04A4" w:rsidRDefault="00DA04A4">
      <w:pPr>
        <w:pStyle w:val="-2"/>
        <w:rPr>
          <w:snapToGrid w:val="0"/>
        </w:rPr>
      </w:pPr>
      <w:r>
        <w:rPr>
          <w:snapToGrid w:val="0"/>
        </w:rPr>
        <w:t>Финансовая деятельность промышленных предприятий (крупных и средних). В январе-феврале прибыль составила 19 075 млн. руб. или 98,7% к соответствующему периоду предыдущего года.</w:t>
      </w:r>
      <w:r>
        <w:rPr>
          <w:rStyle w:val="a4"/>
          <w:snapToGrid w:val="0"/>
        </w:rPr>
        <w:footnoteReference w:id="15"/>
      </w:r>
    </w:p>
    <w:p w:rsidR="00DA04A4" w:rsidRDefault="00DA04A4">
      <w:pPr>
        <w:pStyle w:val="-2"/>
        <w:rPr>
          <w:snapToGrid w:val="0"/>
          <w:lang w:val="ru-RU"/>
        </w:rPr>
      </w:pPr>
    </w:p>
    <w:p w:rsidR="00DA04A4" w:rsidRDefault="00DA04A4">
      <w:pPr>
        <w:pStyle w:val="-2"/>
        <w:rPr>
          <w:snapToGrid w:val="0"/>
          <w:lang w:val="ru-RU"/>
        </w:rPr>
      </w:pPr>
    </w:p>
    <w:p w:rsidR="00DA04A4" w:rsidRDefault="00DA04A4">
      <w:pPr>
        <w:pStyle w:val="-2"/>
        <w:rPr>
          <w:snapToGrid w:val="0"/>
          <w:lang w:val="ru-RU"/>
        </w:rPr>
      </w:pPr>
      <w:r>
        <w:rPr>
          <w:snapToGrid w:val="0"/>
        </w:rPr>
        <w:t>Доля убыточных предприятий в общем числе предприятий</w:t>
      </w:r>
      <w:r>
        <w:rPr>
          <w:snapToGrid w:val="0"/>
          <w:lang w:val="ru-RU"/>
        </w:rPr>
        <w:t>.</w:t>
      </w:r>
    </w:p>
    <w:p w:rsidR="00DA04A4" w:rsidRDefault="00DA04A4">
      <w:pPr>
        <w:pStyle w:val="-2"/>
        <w:jc w:val="right"/>
        <w:rPr>
          <w:snapToGrid w:val="0"/>
          <w:lang w:val="ru-RU"/>
        </w:rPr>
      </w:pPr>
      <w:r>
        <w:rPr>
          <w:snapToGrid w:val="0"/>
        </w:rPr>
        <w:t xml:space="preserve">Таблица </w:t>
      </w:r>
      <w:r>
        <w:rPr>
          <w:snapToGrid w:val="0"/>
          <w:lang w:val="ru-RU"/>
        </w:rPr>
        <w:t>2</w:t>
      </w:r>
    </w:p>
    <w:tbl>
      <w:tblPr>
        <w:tblW w:w="0" w:type="auto"/>
        <w:tblInd w:w="-8" w:type="dxa"/>
        <w:tblLayout w:type="fixed"/>
        <w:tblCellMar>
          <w:left w:w="40" w:type="dxa"/>
          <w:right w:w="40" w:type="dxa"/>
        </w:tblCellMar>
        <w:tblLook w:val="0000" w:firstRow="0" w:lastRow="0" w:firstColumn="0" w:lastColumn="0" w:noHBand="0" w:noVBand="0"/>
      </w:tblPr>
      <w:tblGrid>
        <w:gridCol w:w="2380"/>
        <w:gridCol w:w="1209"/>
        <w:gridCol w:w="10"/>
        <w:gridCol w:w="1221"/>
        <w:gridCol w:w="1219"/>
        <w:gridCol w:w="57"/>
        <w:gridCol w:w="1276"/>
        <w:gridCol w:w="993"/>
        <w:gridCol w:w="1275"/>
      </w:tblGrid>
      <w:tr w:rsidR="00DA04A4">
        <w:trPr>
          <w:trHeight w:val="200"/>
        </w:trPr>
        <w:tc>
          <w:tcPr>
            <w:tcW w:w="2380" w:type="dxa"/>
            <w:tcBorders>
              <w:top w:val="single" w:sz="4" w:space="0" w:color="auto"/>
              <w:left w:val="single" w:sz="4" w:space="0" w:color="auto"/>
              <w:bottom w:val="single" w:sz="4" w:space="0" w:color="auto"/>
              <w:right w:val="single" w:sz="4" w:space="0" w:color="auto"/>
            </w:tcBorders>
          </w:tcPr>
          <w:p w:rsidR="00DA04A4" w:rsidRDefault="00DA04A4">
            <w:pPr>
              <w:pStyle w:val="-2"/>
              <w:rPr>
                <w:snapToGrid w:val="0"/>
                <w:sz w:val="24"/>
              </w:rPr>
            </w:pPr>
          </w:p>
        </w:tc>
        <w:tc>
          <w:tcPr>
            <w:tcW w:w="2440" w:type="dxa"/>
            <w:gridSpan w:val="3"/>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Январь-февраль 1998 г.</w:t>
            </w:r>
          </w:p>
        </w:tc>
        <w:tc>
          <w:tcPr>
            <w:tcW w:w="2551" w:type="dxa"/>
            <w:gridSpan w:val="3"/>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январь-</w:t>
            </w:r>
            <w:r>
              <w:rPr>
                <w:snapToGrid w:val="0"/>
                <w:lang w:val="ru-RU"/>
              </w:rPr>
              <w:t>ф</w:t>
            </w:r>
            <w:r>
              <w:rPr>
                <w:snapToGrid w:val="0"/>
              </w:rPr>
              <w:t>евраль</w:t>
            </w:r>
            <w:r>
              <w:rPr>
                <w:snapToGrid w:val="0"/>
                <w:lang w:val="ru-RU"/>
              </w:rPr>
              <w:t xml:space="preserve"> </w:t>
            </w:r>
            <w:r>
              <w:rPr>
                <w:snapToGrid w:val="0"/>
              </w:rPr>
              <w:t>1997г.</w:t>
            </w:r>
          </w:p>
        </w:tc>
        <w:tc>
          <w:tcPr>
            <w:tcW w:w="2268"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lang w:val="ru-RU"/>
              </w:rPr>
            </w:pPr>
            <w:r>
              <w:rPr>
                <w:snapToGrid w:val="0"/>
              </w:rPr>
              <w:t xml:space="preserve">январь </w:t>
            </w:r>
          </w:p>
          <w:p w:rsidR="00DA04A4" w:rsidRDefault="00DA04A4">
            <w:pPr>
              <w:pStyle w:val="-2"/>
              <w:ind w:firstLine="0"/>
              <w:rPr>
                <w:snapToGrid w:val="0"/>
              </w:rPr>
            </w:pPr>
            <w:r>
              <w:rPr>
                <w:snapToGrid w:val="0"/>
              </w:rPr>
              <w:t>1998 г.</w:t>
            </w:r>
          </w:p>
        </w:tc>
      </w:tr>
      <w:tr w:rsidR="00DA04A4">
        <w:trPr>
          <w:trHeight w:val="700"/>
        </w:trPr>
        <w:tc>
          <w:tcPr>
            <w:tcW w:w="2380" w:type="dxa"/>
            <w:tcBorders>
              <w:top w:val="single" w:sz="4" w:space="0" w:color="auto"/>
              <w:left w:val="single" w:sz="4" w:space="0" w:color="auto"/>
              <w:bottom w:val="single" w:sz="4" w:space="0" w:color="auto"/>
              <w:right w:val="single" w:sz="4" w:space="0" w:color="auto"/>
            </w:tcBorders>
          </w:tcPr>
          <w:p w:rsidR="00DA04A4" w:rsidRDefault="00DA04A4">
            <w:pPr>
              <w:pStyle w:val="-2"/>
              <w:rPr>
                <w:rFonts w:ascii="Arial" w:hAnsi="Arial"/>
                <w:snapToGrid w:val="0"/>
                <w:sz w:val="14"/>
              </w:rPr>
            </w:pPr>
          </w:p>
        </w:tc>
        <w:tc>
          <w:tcPr>
            <w:tcW w:w="1219"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доля убы</w:t>
            </w:r>
            <w:r>
              <w:rPr>
                <w:snapToGrid w:val="0"/>
              </w:rPr>
              <w:softHyphen/>
              <w:t>точных пред</w:t>
            </w:r>
            <w:r>
              <w:rPr>
                <w:snapToGrid w:val="0"/>
              </w:rPr>
              <w:softHyphen/>
              <w:t>приятий</w:t>
            </w:r>
          </w:p>
        </w:tc>
        <w:tc>
          <w:tcPr>
            <w:tcW w:w="1220"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сумма убытка, млн. руб.</w:t>
            </w:r>
          </w:p>
        </w:tc>
        <w:tc>
          <w:tcPr>
            <w:tcW w:w="1219"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доля убы</w:t>
            </w:r>
            <w:r>
              <w:rPr>
                <w:snapToGrid w:val="0"/>
              </w:rPr>
              <w:softHyphen/>
              <w:t>точных пред</w:t>
            </w:r>
            <w:r>
              <w:rPr>
                <w:snapToGrid w:val="0"/>
              </w:rPr>
              <w:softHyphen/>
              <w:t>приятий</w:t>
            </w:r>
          </w:p>
        </w:tc>
        <w:tc>
          <w:tcPr>
            <w:tcW w:w="1333"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сумма убытка, млн. руб.</w:t>
            </w:r>
          </w:p>
        </w:tc>
        <w:tc>
          <w:tcPr>
            <w:tcW w:w="993"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доля убы</w:t>
            </w:r>
            <w:r>
              <w:rPr>
                <w:snapToGrid w:val="0"/>
              </w:rPr>
              <w:softHyphen/>
              <w:t>точных пред</w:t>
            </w:r>
            <w:r>
              <w:rPr>
                <w:snapToGrid w:val="0"/>
              </w:rPr>
              <w:softHyphen/>
              <w:t>приятий</w:t>
            </w:r>
          </w:p>
        </w:tc>
        <w:tc>
          <w:tcPr>
            <w:tcW w:w="1275"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сумма убытка, млн. руб.</w:t>
            </w:r>
          </w:p>
        </w:tc>
      </w:tr>
      <w:tr w:rsidR="00DA04A4">
        <w:trPr>
          <w:trHeight w:val="180"/>
        </w:trPr>
        <w:tc>
          <w:tcPr>
            <w:tcW w:w="2380" w:type="dxa"/>
            <w:tcBorders>
              <w:top w:val="single" w:sz="4" w:space="0" w:color="auto"/>
              <w:left w:val="single" w:sz="4" w:space="0" w:color="auto"/>
              <w:bottom w:val="single" w:sz="4" w:space="0" w:color="auto"/>
              <w:right w:val="single" w:sz="4" w:space="0" w:color="auto"/>
            </w:tcBorders>
          </w:tcPr>
          <w:p w:rsidR="00DA04A4" w:rsidRDefault="00DA04A4">
            <w:pPr>
              <w:pStyle w:val="-2"/>
              <w:rPr>
                <w:rFonts w:ascii="Arial" w:hAnsi="Arial"/>
                <w:snapToGrid w:val="0"/>
                <w:sz w:val="14"/>
              </w:rPr>
            </w:pPr>
          </w:p>
        </w:tc>
        <w:tc>
          <w:tcPr>
            <w:tcW w:w="1209" w:type="dxa"/>
            <w:tcBorders>
              <w:top w:val="single" w:sz="4" w:space="0" w:color="auto"/>
              <w:left w:val="single" w:sz="4" w:space="0" w:color="auto"/>
              <w:bottom w:val="single" w:sz="4" w:space="0" w:color="auto"/>
              <w:right w:val="single" w:sz="4" w:space="0" w:color="auto"/>
            </w:tcBorders>
          </w:tcPr>
          <w:p w:rsidR="00DA04A4" w:rsidRDefault="00DA04A4">
            <w:pPr>
              <w:pStyle w:val="-2"/>
              <w:rPr>
                <w:snapToGrid w:val="0"/>
              </w:rPr>
            </w:pPr>
            <w:r>
              <w:rPr>
                <w:snapToGrid w:val="0"/>
              </w:rPr>
              <w:t>1</w:t>
            </w:r>
          </w:p>
        </w:tc>
        <w:tc>
          <w:tcPr>
            <w:tcW w:w="1231"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rPr>
                <w:snapToGrid w:val="0"/>
              </w:rPr>
            </w:pPr>
            <w:r>
              <w:rPr>
                <w:snapToGrid w:val="0"/>
              </w:rPr>
              <w:t>2</w:t>
            </w:r>
          </w:p>
        </w:tc>
        <w:tc>
          <w:tcPr>
            <w:tcW w:w="1276"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rPr>
                <w:snapToGrid w:val="0"/>
              </w:rPr>
            </w:pPr>
            <w:r>
              <w:rPr>
                <w:snapToGrid w:val="0"/>
              </w:rPr>
              <w:t>3</w:t>
            </w:r>
          </w:p>
        </w:tc>
        <w:tc>
          <w:tcPr>
            <w:tcW w:w="1275" w:type="dxa"/>
            <w:tcBorders>
              <w:top w:val="single" w:sz="4" w:space="0" w:color="auto"/>
              <w:left w:val="single" w:sz="4" w:space="0" w:color="auto"/>
              <w:bottom w:val="single" w:sz="4" w:space="0" w:color="auto"/>
              <w:right w:val="single" w:sz="4" w:space="0" w:color="auto"/>
            </w:tcBorders>
          </w:tcPr>
          <w:p w:rsidR="00DA04A4" w:rsidRDefault="00DA04A4">
            <w:pPr>
              <w:pStyle w:val="-2"/>
              <w:rPr>
                <w:snapToGrid w:val="0"/>
              </w:rPr>
            </w:pPr>
            <w:r>
              <w:rPr>
                <w:snapToGrid w:val="0"/>
              </w:rPr>
              <w:t>4</w:t>
            </w:r>
          </w:p>
        </w:tc>
        <w:tc>
          <w:tcPr>
            <w:tcW w:w="993" w:type="dxa"/>
            <w:tcBorders>
              <w:top w:val="single" w:sz="4" w:space="0" w:color="auto"/>
              <w:left w:val="single" w:sz="4" w:space="0" w:color="auto"/>
              <w:bottom w:val="single" w:sz="4" w:space="0" w:color="auto"/>
              <w:right w:val="single" w:sz="4" w:space="0" w:color="auto"/>
            </w:tcBorders>
          </w:tcPr>
          <w:p w:rsidR="00DA04A4" w:rsidRDefault="00DA04A4">
            <w:pPr>
              <w:pStyle w:val="-2"/>
              <w:rPr>
                <w:snapToGrid w:val="0"/>
              </w:rPr>
            </w:pPr>
            <w:r>
              <w:rPr>
                <w:snapToGrid w:val="0"/>
              </w:rPr>
              <w:t>5</w:t>
            </w:r>
          </w:p>
        </w:tc>
        <w:tc>
          <w:tcPr>
            <w:tcW w:w="1275" w:type="dxa"/>
            <w:tcBorders>
              <w:top w:val="single" w:sz="4" w:space="0" w:color="auto"/>
              <w:left w:val="single" w:sz="4" w:space="0" w:color="auto"/>
              <w:bottom w:val="single" w:sz="4" w:space="0" w:color="auto"/>
              <w:right w:val="single" w:sz="4" w:space="0" w:color="auto"/>
            </w:tcBorders>
          </w:tcPr>
          <w:p w:rsidR="00DA04A4" w:rsidRDefault="00DA04A4">
            <w:pPr>
              <w:pStyle w:val="-2"/>
              <w:rPr>
                <w:snapToGrid w:val="0"/>
              </w:rPr>
            </w:pPr>
            <w:r>
              <w:rPr>
                <w:snapToGrid w:val="0"/>
              </w:rPr>
              <w:t>6</w:t>
            </w:r>
          </w:p>
        </w:tc>
      </w:tr>
      <w:tr w:rsidR="00DA04A4">
        <w:trPr>
          <w:trHeight w:val="220"/>
        </w:trPr>
        <w:tc>
          <w:tcPr>
            <w:tcW w:w="2380"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lang w:val="ru-RU"/>
              </w:rPr>
            </w:pPr>
            <w:r>
              <w:rPr>
                <w:snapToGrid w:val="0"/>
              </w:rPr>
              <w:t>Промышлен</w:t>
            </w:r>
          </w:p>
          <w:p w:rsidR="00DA04A4" w:rsidRDefault="00DA04A4">
            <w:pPr>
              <w:pStyle w:val="-2"/>
              <w:ind w:firstLine="0"/>
              <w:rPr>
                <w:snapToGrid w:val="0"/>
              </w:rPr>
            </w:pPr>
            <w:r>
              <w:rPr>
                <w:snapToGrid w:val="0"/>
              </w:rPr>
              <w:t xml:space="preserve">ность </w:t>
            </w:r>
          </w:p>
        </w:tc>
        <w:tc>
          <w:tcPr>
            <w:tcW w:w="1209"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41,6</w:t>
            </w:r>
          </w:p>
        </w:tc>
        <w:tc>
          <w:tcPr>
            <w:tcW w:w="1231"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9556</w:t>
            </w:r>
          </w:p>
        </w:tc>
        <w:tc>
          <w:tcPr>
            <w:tcW w:w="1276"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39,6</w:t>
            </w:r>
          </w:p>
        </w:tc>
        <w:tc>
          <w:tcPr>
            <w:tcW w:w="1275"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7118</w:t>
            </w:r>
          </w:p>
        </w:tc>
        <w:tc>
          <w:tcPr>
            <w:tcW w:w="993"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45,1</w:t>
            </w:r>
          </w:p>
        </w:tc>
        <w:tc>
          <w:tcPr>
            <w:tcW w:w="1275"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6943</w:t>
            </w:r>
          </w:p>
        </w:tc>
      </w:tr>
      <w:tr w:rsidR="00DA04A4">
        <w:trPr>
          <w:trHeight w:val="200"/>
        </w:trPr>
        <w:tc>
          <w:tcPr>
            <w:tcW w:w="2380"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цветная металлургия</w:t>
            </w:r>
          </w:p>
        </w:tc>
        <w:tc>
          <w:tcPr>
            <w:tcW w:w="1209"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40,2</w:t>
            </w:r>
          </w:p>
        </w:tc>
        <w:tc>
          <w:tcPr>
            <w:tcW w:w="1231"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389</w:t>
            </w:r>
          </w:p>
        </w:tc>
        <w:tc>
          <w:tcPr>
            <w:tcW w:w="1276"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46,8</w:t>
            </w:r>
          </w:p>
        </w:tc>
        <w:tc>
          <w:tcPr>
            <w:tcW w:w="1275"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476</w:t>
            </w:r>
          </w:p>
        </w:tc>
        <w:tc>
          <w:tcPr>
            <w:tcW w:w="993"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60,5</w:t>
            </w:r>
          </w:p>
        </w:tc>
        <w:tc>
          <w:tcPr>
            <w:tcW w:w="1275" w:type="dxa"/>
            <w:tcBorders>
              <w:top w:val="single" w:sz="4" w:space="0" w:color="auto"/>
              <w:left w:val="single" w:sz="4" w:space="0" w:color="auto"/>
              <w:bottom w:val="single" w:sz="4" w:space="0" w:color="auto"/>
              <w:right w:val="single" w:sz="4" w:space="0" w:color="auto"/>
            </w:tcBorders>
          </w:tcPr>
          <w:p w:rsidR="00DA04A4" w:rsidRDefault="00DA04A4">
            <w:pPr>
              <w:pStyle w:val="-2"/>
              <w:ind w:firstLine="0"/>
              <w:rPr>
                <w:snapToGrid w:val="0"/>
              </w:rPr>
            </w:pPr>
            <w:r>
              <w:rPr>
                <w:snapToGrid w:val="0"/>
              </w:rPr>
              <w:t>228</w:t>
            </w:r>
          </w:p>
        </w:tc>
      </w:tr>
    </w:tbl>
    <w:p w:rsidR="00DA04A4" w:rsidRDefault="00DA04A4">
      <w:pPr>
        <w:pStyle w:val="-2"/>
        <w:jc w:val="center"/>
        <w:rPr>
          <w:snapToGrid w:val="0"/>
          <w:lang w:val="ru-RU"/>
        </w:rPr>
      </w:pPr>
    </w:p>
    <w:p w:rsidR="00DA04A4" w:rsidRDefault="00DA04A4">
      <w:pPr>
        <w:pStyle w:val="-2"/>
        <w:spacing w:line="240" w:lineRule="auto"/>
        <w:jc w:val="center"/>
        <w:rPr>
          <w:snapToGrid w:val="0"/>
          <w:lang w:val="ru-RU"/>
        </w:rPr>
      </w:pPr>
      <w:r>
        <w:rPr>
          <w:snapToGrid w:val="0"/>
        </w:rPr>
        <w:t>Повышение (+) или понижение (—) физического объема выпуска промышленной продукции в первом полугодии 1996 г. и 1997 г. в сопоставлении с соответствующим периодом предыдущих лет (в %)</w:t>
      </w:r>
      <w:r>
        <w:rPr>
          <w:snapToGrid w:val="0"/>
          <w:lang w:val="ru-RU"/>
        </w:rPr>
        <w:t>.</w:t>
      </w:r>
      <w:r>
        <w:rPr>
          <w:rStyle w:val="a4"/>
          <w:snapToGrid w:val="0"/>
          <w:lang w:val="ru-RU"/>
        </w:rPr>
        <w:footnoteReference w:id="16"/>
      </w:r>
    </w:p>
    <w:p w:rsidR="00DA04A4" w:rsidRDefault="00DA04A4">
      <w:pPr>
        <w:pStyle w:val="-2"/>
        <w:jc w:val="right"/>
        <w:rPr>
          <w:snapToGrid w:val="0"/>
          <w:lang w:val="ru-RU"/>
        </w:rPr>
      </w:pPr>
      <w:r>
        <w:rPr>
          <w:snapToGrid w:val="0"/>
          <w:lang w:val="ru-RU"/>
        </w:rPr>
        <w:t>Таблица 3</w:t>
      </w:r>
    </w:p>
    <w:tbl>
      <w:tblPr>
        <w:tblW w:w="0" w:type="auto"/>
        <w:tblInd w:w="-8" w:type="dxa"/>
        <w:tblLayout w:type="fixed"/>
        <w:tblCellMar>
          <w:left w:w="40" w:type="dxa"/>
          <w:right w:w="40" w:type="dxa"/>
        </w:tblCellMar>
        <w:tblLook w:val="0000" w:firstRow="0" w:lastRow="0" w:firstColumn="0" w:lastColumn="0" w:noHBand="0" w:noVBand="0"/>
      </w:tblPr>
      <w:tblGrid>
        <w:gridCol w:w="3213"/>
        <w:gridCol w:w="3213"/>
        <w:gridCol w:w="3213"/>
      </w:tblGrid>
      <w:tr w:rsidR="00DA04A4">
        <w:trPr>
          <w:trHeight w:val="540"/>
        </w:trPr>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Отрасль</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январь—июнь 1996 г. к январю—июню 1995 г.</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январь—июнь 1997 г. к январю—июню 1996 г.</w:t>
            </w:r>
          </w:p>
        </w:tc>
      </w:tr>
      <w:tr w:rsidR="00DA04A4">
        <w:trPr>
          <w:trHeight w:val="260"/>
        </w:trPr>
        <w:tc>
          <w:tcPr>
            <w:tcW w:w="9639" w:type="dxa"/>
            <w:gridSpan w:val="3"/>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jc w:val="center"/>
              <w:rPr>
                <w:snapToGrid w:val="0"/>
              </w:rPr>
            </w:pPr>
            <w:r>
              <w:rPr>
                <w:snapToGrid w:val="0"/>
              </w:rPr>
              <w:t>Цветная металлургия</w:t>
            </w:r>
          </w:p>
        </w:tc>
      </w:tr>
      <w:tr w:rsidR="00DA04A4">
        <w:trPr>
          <w:trHeight w:val="260"/>
        </w:trPr>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алюминиевая</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+5,8</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+1,3</w:t>
            </w:r>
          </w:p>
        </w:tc>
      </w:tr>
      <w:tr w:rsidR="00DA04A4">
        <w:trPr>
          <w:trHeight w:val="260"/>
        </w:trPr>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медная</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+1,1</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-6,6</w:t>
            </w:r>
          </w:p>
        </w:tc>
      </w:tr>
      <w:tr w:rsidR="00DA04A4">
        <w:trPr>
          <w:trHeight w:val="260"/>
        </w:trPr>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никель кобальтовая</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-2,8</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-1,2</w:t>
            </w:r>
          </w:p>
        </w:tc>
      </w:tr>
      <w:tr w:rsidR="00DA04A4">
        <w:trPr>
          <w:trHeight w:val="260"/>
        </w:trPr>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свинцово цинковая</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-2,4</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+6,8</w:t>
            </w:r>
          </w:p>
        </w:tc>
      </w:tr>
      <w:tr w:rsidR="00DA04A4">
        <w:trPr>
          <w:trHeight w:val="280"/>
        </w:trPr>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другие</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-7,1</w:t>
            </w:r>
          </w:p>
        </w:tc>
        <w:tc>
          <w:tcPr>
            <w:tcW w:w="3213" w:type="dxa"/>
            <w:tcBorders>
              <w:top w:val="single" w:sz="6" w:space="0" w:color="auto"/>
              <w:left w:val="single" w:sz="6" w:space="0" w:color="auto"/>
              <w:bottom w:val="single" w:sz="6" w:space="0" w:color="auto"/>
              <w:right w:val="single" w:sz="6" w:space="0" w:color="auto"/>
            </w:tcBorders>
          </w:tcPr>
          <w:p w:rsidR="00DA04A4" w:rsidRDefault="00DA04A4">
            <w:pPr>
              <w:pStyle w:val="-2"/>
              <w:spacing w:line="240" w:lineRule="auto"/>
              <w:rPr>
                <w:snapToGrid w:val="0"/>
              </w:rPr>
            </w:pPr>
            <w:r>
              <w:rPr>
                <w:snapToGrid w:val="0"/>
              </w:rPr>
              <w:t>-0,1</w:t>
            </w:r>
          </w:p>
        </w:tc>
      </w:tr>
    </w:tbl>
    <w:p w:rsidR="00DA04A4" w:rsidRDefault="00DA04A4">
      <w:pPr>
        <w:pStyle w:val="-2"/>
        <w:rPr>
          <w:snapToGrid w:val="0"/>
        </w:rPr>
      </w:pPr>
      <w:r>
        <w:rPr>
          <w:snapToGrid w:val="0"/>
        </w:rPr>
        <w:t>Таким образом, общей тенденцией изменения отраслевой структуры российской экономики ныне является дезиндустриализация, прежде всего вследствие сокращения производства высоко</w:t>
      </w:r>
      <w:r>
        <w:rPr>
          <w:snapToGrid w:val="0"/>
        </w:rPr>
        <w:softHyphen/>
        <w:t>технологичных отраслей промышленности. Эта тенденция характерна для всех регионов России.</w:t>
      </w:r>
    </w:p>
    <w:p w:rsidR="00DA04A4" w:rsidRDefault="00DA04A4">
      <w:pPr>
        <w:pStyle w:val="-2"/>
        <w:rPr>
          <w:snapToGrid w:val="0"/>
        </w:rPr>
      </w:pPr>
      <w:r>
        <w:rPr>
          <w:snapToGrid w:val="0"/>
        </w:rPr>
        <w:t>В перспективе до 2000 г. при сохранении рыночного курса (первый вариант) общий спад производства продолжится в значительной степени за счет итогов 1996 г. и сохранятся негативные тенденции в его структуре. Только в условиях перехода к управляемому экономическому развитию</w:t>
      </w:r>
      <w:r>
        <w:rPr>
          <w:snapToGrid w:val="0"/>
          <w:lang w:val="ru-RU"/>
        </w:rPr>
        <w:t xml:space="preserve"> </w:t>
      </w:r>
      <w:r>
        <w:rPr>
          <w:snapToGrid w:val="0"/>
        </w:rPr>
        <w:t>(второй вариант) могут быть достигнуты реальное оживление производственной деятельности и прогрессивные изменения в структуре производства.</w:t>
      </w:r>
    </w:p>
    <w:p w:rsidR="00DA04A4" w:rsidRDefault="00DA04A4">
      <w:pPr>
        <w:pStyle w:val="-2"/>
        <w:rPr>
          <w:snapToGrid w:val="0"/>
        </w:rPr>
      </w:pPr>
      <w:r>
        <w:rPr>
          <w:snapToGrid w:val="0"/>
        </w:rPr>
        <w:t xml:space="preserve">Проведенные прогнозные расчеты определили следующую динамику отраслей производства на период до 2000 г. (см. табл. </w:t>
      </w:r>
      <w:r>
        <w:rPr>
          <w:snapToGrid w:val="0"/>
          <w:lang w:val="ru-RU"/>
        </w:rPr>
        <w:t>4</w:t>
      </w:r>
      <w:r>
        <w:rPr>
          <w:snapToGrid w:val="0"/>
        </w:rPr>
        <w:t>).</w:t>
      </w:r>
    </w:p>
    <w:p w:rsidR="00DA04A4" w:rsidRDefault="00DA04A4">
      <w:pPr>
        <w:pStyle w:val="-2"/>
        <w:spacing w:line="240" w:lineRule="auto"/>
        <w:jc w:val="center"/>
        <w:rPr>
          <w:snapToGrid w:val="0"/>
          <w:lang w:val="ru-RU"/>
        </w:rPr>
      </w:pPr>
      <w:r>
        <w:rPr>
          <w:snapToGrid w:val="0"/>
        </w:rPr>
        <w:t xml:space="preserve">Динамика и структура общественного производства России (по сумме регионов), </w:t>
      </w:r>
      <w:r>
        <w:rPr>
          <w:snapToGrid w:val="0"/>
          <w:lang w:val="ru-RU"/>
        </w:rPr>
        <w:t>%.</w:t>
      </w:r>
    </w:p>
    <w:p w:rsidR="00DA04A4" w:rsidRDefault="00DA04A4">
      <w:pPr>
        <w:pStyle w:val="-2"/>
        <w:spacing w:line="240" w:lineRule="auto"/>
        <w:jc w:val="right"/>
        <w:rPr>
          <w:b/>
          <w:snapToGrid w:val="0"/>
          <w:lang w:val="ru-RU"/>
        </w:rPr>
      </w:pPr>
      <w:r>
        <w:rPr>
          <w:snapToGrid w:val="0"/>
        </w:rPr>
        <w:t xml:space="preserve">Таблица </w:t>
      </w:r>
      <w:r>
        <w:rPr>
          <w:snapToGrid w:val="0"/>
          <w:lang w:val="ru-RU"/>
        </w:rPr>
        <w:t>4</w:t>
      </w:r>
    </w:p>
    <w:tbl>
      <w:tblPr>
        <w:tblW w:w="0" w:type="auto"/>
        <w:tblInd w:w="-8" w:type="dxa"/>
        <w:tblLayout w:type="fixed"/>
        <w:tblCellMar>
          <w:left w:w="40" w:type="dxa"/>
          <w:right w:w="40" w:type="dxa"/>
        </w:tblCellMar>
        <w:tblLook w:val="0000" w:firstRow="0" w:lastRow="0" w:firstColumn="0" w:lastColumn="0" w:noHBand="0" w:noVBand="0"/>
      </w:tblPr>
      <w:tblGrid>
        <w:gridCol w:w="1134"/>
        <w:gridCol w:w="1276"/>
        <w:gridCol w:w="1151"/>
        <w:gridCol w:w="1259"/>
        <w:gridCol w:w="1134"/>
        <w:gridCol w:w="1134"/>
        <w:gridCol w:w="1222"/>
        <w:gridCol w:w="1188"/>
      </w:tblGrid>
      <w:tr w:rsidR="00DA04A4">
        <w:trPr>
          <w:trHeight w:val="240"/>
        </w:trPr>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3686" w:type="dxa"/>
            <w:gridSpan w:val="3"/>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Индекс объема продукции</w:t>
            </w:r>
          </w:p>
        </w:tc>
        <w:tc>
          <w:tcPr>
            <w:tcW w:w="4678" w:type="dxa"/>
            <w:gridSpan w:val="4"/>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Структура общественного продукта</w:t>
            </w:r>
          </w:p>
        </w:tc>
      </w:tr>
      <w:tr w:rsidR="00DA04A4">
        <w:trPr>
          <w:trHeight w:val="240"/>
        </w:trPr>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1276"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1991— 1995 гг.</w:t>
            </w:r>
          </w:p>
        </w:tc>
        <w:tc>
          <w:tcPr>
            <w:tcW w:w="2410"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1996—2000 гг.</w:t>
            </w: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1990г.</w:t>
            </w: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1995г.</w:t>
            </w:r>
          </w:p>
        </w:tc>
        <w:tc>
          <w:tcPr>
            <w:tcW w:w="2410" w:type="dxa"/>
            <w:gridSpan w:val="2"/>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 xml:space="preserve">2000 </w:t>
            </w:r>
            <w:r>
              <w:rPr>
                <w:snapToGrid w:val="0"/>
                <w:sz w:val="24"/>
                <w:lang w:val="ru-RU"/>
              </w:rPr>
              <w:t>г</w:t>
            </w:r>
            <w:r>
              <w:rPr>
                <w:snapToGrid w:val="0"/>
                <w:sz w:val="24"/>
              </w:rPr>
              <w:t>.</w:t>
            </w:r>
          </w:p>
        </w:tc>
      </w:tr>
      <w:tr w:rsidR="00DA04A4">
        <w:trPr>
          <w:trHeight w:val="460"/>
        </w:trPr>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1276"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1151"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lang w:val="ru-RU"/>
              </w:rPr>
              <w:t xml:space="preserve">Первый </w:t>
            </w:r>
            <w:r>
              <w:rPr>
                <w:snapToGrid w:val="0"/>
                <w:sz w:val="24"/>
              </w:rPr>
              <w:t xml:space="preserve"> </w:t>
            </w:r>
            <w:r>
              <w:rPr>
                <w:snapToGrid w:val="0"/>
                <w:sz w:val="24"/>
                <w:lang w:val="ru-RU"/>
              </w:rPr>
              <w:t>в</w:t>
            </w:r>
            <w:r>
              <w:rPr>
                <w:snapToGrid w:val="0"/>
                <w:sz w:val="24"/>
              </w:rPr>
              <w:t>ариант</w:t>
            </w:r>
          </w:p>
        </w:tc>
        <w:tc>
          <w:tcPr>
            <w:tcW w:w="1259"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Второй вариант</w:t>
            </w: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1222"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lang w:val="ru-RU"/>
              </w:rPr>
            </w:pPr>
            <w:r>
              <w:rPr>
                <w:snapToGrid w:val="0"/>
                <w:sz w:val="24"/>
              </w:rPr>
              <w:t>Первый вари</w:t>
            </w:r>
          </w:p>
          <w:p w:rsidR="00DA04A4" w:rsidRDefault="00DA04A4">
            <w:pPr>
              <w:pStyle w:val="-2"/>
              <w:spacing w:line="240" w:lineRule="auto"/>
              <w:ind w:firstLine="0"/>
              <w:rPr>
                <w:snapToGrid w:val="0"/>
                <w:sz w:val="24"/>
              </w:rPr>
            </w:pPr>
            <w:r>
              <w:rPr>
                <w:snapToGrid w:val="0"/>
                <w:sz w:val="24"/>
              </w:rPr>
              <w:t>ант</w:t>
            </w:r>
          </w:p>
        </w:tc>
        <w:tc>
          <w:tcPr>
            <w:tcW w:w="1188"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lang w:val="ru-RU"/>
              </w:rPr>
            </w:pPr>
            <w:r>
              <w:rPr>
                <w:snapToGrid w:val="0"/>
                <w:sz w:val="24"/>
              </w:rPr>
              <w:t>Второй вари</w:t>
            </w:r>
          </w:p>
          <w:p w:rsidR="00DA04A4" w:rsidRDefault="00DA04A4">
            <w:pPr>
              <w:pStyle w:val="-2"/>
              <w:spacing w:line="240" w:lineRule="auto"/>
              <w:ind w:firstLine="0"/>
              <w:rPr>
                <w:snapToGrid w:val="0"/>
                <w:sz w:val="24"/>
              </w:rPr>
            </w:pPr>
            <w:r>
              <w:rPr>
                <w:snapToGrid w:val="0"/>
                <w:sz w:val="24"/>
              </w:rPr>
              <w:t>ант</w:t>
            </w:r>
          </w:p>
        </w:tc>
      </w:tr>
      <w:tr w:rsidR="00DA04A4">
        <w:trPr>
          <w:trHeight w:val="500"/>
        </w:trPr>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lang w:val="ru-RU"/>
              </w:rPr>
            </w:pPr>
            <w:r>
              <w:rPr>
                <w:snapToGrid w:val="0"/>
                <w:sz w:val="24"/>
              </w:rPr>
              <w:t>Вало</w:t>
            </w:r>
          </w:p>
          <w:p w:rsidR="00DA04A4" w:rsidRDefault="00DA04A4">
            <w:pPr>
              <w:pStyle w:val="-2"/>
              <w:spacing w:line="240" w:lineRule="auto"/>
              <w:ind w:firstLine="0"/>
              <w:rPr>
                <w:snapToGrid w:val="0"/>
                <w:sz w:val="24"/>
              </w:rPr>
            </w:pPr>
            <w:r>
              <w:rPr>
                <w:snapToGrid w:val="0"/>
                <w:sz w:val="24"/>
              </w:rPr>
              <w:t>вой общественный продукт</w:t>
            </w:r>
          </w:p>
        </w:tc>
        <w:tc>
          <w:tcPr>
            <w:tcW w:w="1276"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50,3</w:t>
            </w:r>
          </w:p>
        </w:tc>
        <w:tc>
          <w:tcPr>
            <w:tcW w:w="1151"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92,8</w:t>
            </w:r>
          </w:p>
        </w:tc>
        <w:tc>
          <w:tcPr>
            <w:tcW w:w="1259"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113,5</w:t>
            </w: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100,0</w:t>
            </w: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100,0</w:t>
            </w:r>
          </w:p>
        </w:tc>
        <w:tc>
          <w:tcPr>
            <w:tcW w:w="1222"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100,0</w:t>
            </w:r>
          </w:p>
        </w:tc>
        <w:tc>
          <w:tcPr>
            <w:tcW w:w="1188"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100,0</w:t>
            </w:r>
          </w:p>
        </w:tc>
      </w:tr>
      <w:tr w:rsidR="00DA04A4">
        <w:trPr>
          <w:trHeight w:val="240"/>
        </w:trPr>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Промышленность,</w:t>
            </w:r>
          </w:p>
        </w:tc>
        <w:tc>
          <w:tcPr>
            <w:tcW w:w="1276"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50,5</w:t>
            </w:r>
          </w:p>
        </w:tc>
        <w:tc>
          <w:tcPr>
            <w:tcW w:w="1151"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95,1</w:t>
            </w:r>
          </w:p>
        </w:tc>
        <w:tc>
          <w:tcPr>
            <w:tcW w:w="1259"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113,8</w:t>
            </w: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72,3</w:t>
            </w: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72,8</w:t>
            </w:r>
          </w:p>
        </w:tc>
        <w:tc>
          <w:tcPr>
            <w:tcW w:w="1222"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74,6</w:t>
            </w:r>
          </w:p>
        </w:tc>
        <w:tc>
          <w:tcPr>
            <w:tcW w:w="1188"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72,7</w:t>
            </w:r>
          </w:p>
        </w:tc>
      </w:tr>
      <w:tr w:rsidR="00DA04A4">
        <w:trPr>
          <w:trHeight w:val="180"/>
        </w:trPr>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в том числе:</w:t>
            </w:r>
          </w:p>
        </w:tc>
        <w:tc>
          <w:tcPr>
            <w:tcW w:w="1276"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1151"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1259"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1222"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c>
          <w:tcPr>
            <w:tcW w:w="1188"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rPr>
                <w:snapToGrid w:val="0"/>
                <w:sz w:val="24"/>
              </w:rPr>
            </w:pPr>
          </w:p>
        </w:tc>
      </w:tr>
      <w:tr w:rsidR="00DA04A4">
        <w:trPr>
          <w:trHeight w:val="220"/>
        </w:trPr>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цветная металлургия</w:t>
            </w:r>
          </w:p>
        </w:tc>
        <w:tc>
          <w:tcPr>
            <w:tcW w:w="1276"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56,9</w:t>
            </w:r>
          </w:p>
        </w:tc>
        <w:tc>
          <w:tcPr>
            <w:tcW w:w="1151"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100,1</w:t>
            </w:r>
          </w:p>
        </w:tc>
        <w:tc>
          <w:tcPr>
            <w:tcW w:w="1259"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109,6</w:t>
            </w: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4,5</w:t>
            </w:r>
          </w:p>
        </w:tc>
        <w:tc>
          <w:tcPr>
            <w:tcW w:w="1134"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5,1</w:t>
            </w:r>
          </w:p>
        </w:tc>
        <w:tc>
          <w:tcPr>
            <w:tcW w:w="1222"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5,5</w:t>
            </w:r>
          </w:p>
        </w:tc>
        <w:tc>
          <w:tcPr>
            <w:tcW w:w="1188" w:type="dxa"/>
            <w:tcBorders>
              <w:top w:val="single" w:sz="4" w:space="0" w:color="auto"/>
              <w:left w:val="single" w:sz="4" w:space="0" w:color="auto"/>
              <w:bottom w:val="single" w:sz="4" w:space="0" w:color="auto"/>
              <w:right w:val="single" w:sz="4" w:space="0" w:color="auto"/>
            </w:tcBorders>
          </w:tcPr>
          <w:p w:rsidR="00DA04A4" w:rsidRDefault="00DA04A4">
            <w:pPr>
              <w:pStyle w:val="-2"/>
              <w:spacing w:line="240" w:lineRule="auto"/>
              <w:ind w:firstLine="0"/>
              <w:rPr>
                <w:snapToGrid w:val="0"/>
                <w:sz w:val="24"/>
              </w:rPr>
            </w:pPr>
            <w:r>
              <w:rPr>
                <w:snapToGrid w:val="0"/>
                <w:sz w:val="24"/>
              </w:rPr>
              <w:t>4,9</w:t>
            </w:r>
          </w:p>
        </w:tc>
      </w:tr>
    </w:tbl>
    <w:p w:rsidR="00DA04A4" w:rsidRDefault="00DA04A4">
      <w:pPr>
        <w:pStyle w:val="-2"/>
        <w:rPr>
          <w:snapToGrid w:val="0"/>
          <w:lang w:val="ru-RU"/>
        </w:rPr>
      </w:pPr>
    </w:p>
    <w:p w:rsidR="00DA04A4" w:rsidRDefault="00DA04A4">
      <w:pPr>
        <w:pStyle w:val="-2"/>
        <w:rPr>
          <w:snapToGrid w:val="0"/>
          <w:lang w:val="ru-RU"/>
        </w:rPr>
      </w:pPr>
      <w:r>
        <w:rPr>
          <w:snapToGrid w:val="0"/>
        </w:rPr>
        <w:t>В варианте рыночного развития ожидается некоторый незначительный рост продукции цветной металлургии, т.е. в сырьевых отраслях, ориентированных на экспорт. Во втором варианте значительно вырастет производство почти всех отраслей экономики</w:t>
      </w:r>
      <w:r>
        <w:rPr>
          <w:snapToGrid w:val="0"/>
          <w:lang w:val="ru-RU"/>
        </w:rPr>
        <w:t>.</w:t>
      </w:r>
      <w:r>
        <w:rPr>
          <w:rStyle w:val="a4"/>
          <w:snapToGrid w:val="0"/>
          <w:lang w:val="ru-RU"/>
        </w:rPr>
        <w:footnoteReference w:id="17"/>
      </w:r>
      <w:r>
        <w:rPr>
          <w:snapToGrid w:val="0"/>
        </w:rPr>
        <w:t xml:space="preserve"> </w:t>
      </w:r>
    </w:p>
    <w:p w:rsidR="00DA04A4" w:rsidRDefault="00DA04A4">
      <w:pPr>
        <w:pStyle w:val="-2"/>
        <w:rPr>
          <w:snapToGrid w:val="0"/>
          <w:lang w:val="ru-RU"/>
        </w:rPr>
      </w:pPr>
      <w:r>
        <w:rPr>
          <w:snapToGrid w:val="0"/>
        </w:rPr>
        <w:t xml:space="preserve">Динамика производства в 1996—2000 гг. по регионам, </w:t>
      </w:r>
      <w:r>
        <w:rPr>
          <w:snapToGrid w:val="0"/>
          <w:lang w:val="ru-RU"/>
        </w:rPr>
        <w:t>%.</w:t>
      </w:r>
    </w:p>
    <w:p w:rsidR="00DA04A4" w:rsidRDefault="00DA04A4">
      <w:pPr>
        <w:pStyle w:val="-2"/>
        <w:jc w:val="right"/>
        <w:rPr>
          <w:snapToGrid w:val="0"/>
          <w:lang w:val="ru-RU"/>
        </w:rPr>
      </w:pPr>
      <w:r>
        <w:rPr>
          <w:snapToGrid w:val="0"/>
        </w:rPr>
        <w:t xml:space="preserve">Таблица </w:t>
      </w:r>
      <w:r>
        <w:rPr>
          <w:snapToGrid w:val="0"/>
          <w:lang w:val="ru-RU"/>
        </w:rPr>
        <w:t>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firstRow="0" w:lastRow="0" w:firstColumn="0" w:lastColumn="0" w:noHBand="0" w:noVBand="0"/>
      </w:tblPr>
      <w:tblGrid>
        <w:gridCol w:w="2835"/>
        <w:gridCol w:w="2929"/>
        <w:gridCol w:w="2883"/>
      </w:tblGrid>
      <w:tr w:rsidR="00DA04A4">
        <w:trPr>
          <w:trHeight w:val="240"/>
          <w:jc w:val="center"/>
        </w:trPr>
        <w:tc>
          <w:tcPr>
            <w:tcW w:w="2835" w:type="dxa"/>
          </w:tcPr>
          <w:p w:rsidR="00DA04A4" w:rsidRDefault="00DA04A4">
            <w:pPr>
              <w:pStyle w:val="-2"/>
              <w:rPr>
                <w:snapToGrid w:val="0"/>
                <w:sz w:val="24"/>
              </w:rPr>
            </w:pPr>
          </w:p>
        </w:tc>
        <w:tc>
          <w:tcPr>
            <w:tcW w:w="5812" w:type="dxa"/>
            <w:gridSpan w:val="2"/>
          </w:tcPr>
          <w:p w:rsidR="00DA04A4" w:rsidRDefault="00DA04A4">
            <w:pPr>
              <w:pStyle w:val="-2"/>
              <w:jc w:val="center"/>
              <w:rPr>
                <w:snapToGrid w:val="0"/>
              </w:rPr>
            </w:pPr>
            <w:r>
              <w:rPr>
                <w:snapToGrid w:val="0"/>
              </w:rPr>
              <w:t>Промышленность</w:t>
            </w:r>
          </w:p>
        </w:tc>
      </w:tr>
      <w:tr w:rsidR="00DA04A4">
        <w:trPr>
          <w:trHeight w:val="460"/>
          <w:jc w:val="center"/>
        </w:trPr>
        <w:tc>
          <w:tcPr>
            <w:tcW w:w="2835" w:type="dxa"/>
          </w:tcPr>
          <w:p w:rsidR="00DA04A4" w:rsidRDefault="00DA04A4">
            <w:pPr>
              <w:pStyle w:val="-2"/>
              <w:rPr>
                <w:snapToGrid w:val="0"/>
              </w:rPr>
            </w:pPr>
          </w:p>
        </w:tc>
        <w:tc>
          <w:tcPr>
            <w:tcW w:w="2929" w:type="dxa"/>
          </w:tcPr>
          <w:p w:rsidR="00DA04A4" w:rsidRDefault="00DA04A4">
            <w:pPr>
              <w:pStyle w:val="-2"/>
              <w:ind w:firstLine="0"/>
              <w:rPr>
                <w:snapToGrid w:val="0"/>
              </w:rPr>
            </w:pPr>
            <w:r>
              <w:rPr>
                <w:snapToGrid w:val="0"/>
              </w:rPr>
              <w:t>Первый вариант</w:t>
            </w:r>
          </w:p>
        </w:tc>
        <w:tc>
          <w:tcPr>
            <w:tcW w:w="2883" w:type="dxa"/>
          </w:tcPr>
          <w:p w:rsidR="00DA04A4" w:rsidRDefault="00DA04A4">
            <w:pPr>
              <w:pStyle w:val="-2"/>
              <w:ind w:firstLine="0"/>
              <w:rPr>
                <w:snapToGrid w:val="0"/>
              </w:rPr>
            </w:pPr>
            <w:r>
              <w:rPr>
                <w:snapToGrid w:val="0"/>
              </w:rPr>
              <w:t>Второй вариант</w:t>
            </w:r>
          </w:p>
        </w:tc>
      </w:tr>
      <w:tr w:rsidR="00DA04A4">
        <w:trPr>
          <w:trHeight w:val="280"/>
          <w:jc w:val="center"/>
        </w:trPr>
        <w:tc>
          <w:tcPr>
            <w:tcW w:w="2835" w:type="dxa"/>
          </w:tcPr>
          <w:p w:rsidR="00DA04A4" w:rsidRDefault="00DA04A4">
            <w:pPr>
              <w:pStyle w:val="-2"/>
              <w:ind w:firstLine="0"/>
              <w:rPr>
                <w:snapToGrid w:val="0"/>
              </w:rPr>
            </w:pPr>
            <w:r>
              <w:rPr>
                <w:snapToGrid w:val="0"/>
              </w:rPr>
              <w:t>Россия, всего</w:t>
            </w:r>
          </w:p>
        </w:tc>
        <w:tc>
          <w:tcPr>
            <w:tcW w:w="2929" w:type="dxa"/>
          </w:tcPr>
          <w:p w:rsidR="00DA04A4" w:rsidRDefault="00DA04A4">
            <w:pPr>
              <w:pStyle w:val="-2"/>
              <w:rPr>
                <w:snapToGrid w:val="0"/>
              </w:rPr>
            </w:pPr>
            <w:r>
              <w:rPr>
                <w:snapToGrid w:val="0"/>
              </w:rPr>
              <w:t>95,1</w:t>
            </w:r>
          </w:p>
        </w:tc>
        <w:tc>
          <w:tcPr>
            <w:tcW w:w="2883" w:type="dxa"/>
          </w:tcPr>
          <w:p w:rsidR="00DA04A4" w:rsidRDefault="00DA04A4">
            <w:pPr>
              <w:pStyle w:val="-2"/>
              <w:rPr>
                <w:snapToGrid w:val="0"/>
              </w:rPr>
            </w:pPr>
            <w:r>
              <w:rPr>
                <w:snapToGrid w:val="0"/>
              </w:rPr>
              <w:t>113,8</w:t>
            </w:r>
          </w:p>
        </w:tc>
      </w:tr>
      <w:tr w:rsidR="00DA04A4">
        <w:trPr>
          <w:trHeight w:val="200"/>
          <w:jc w:val="center"/>
        </w:trPr>
        <w:tc>
          <w:tcPr>
            <w:tcW w:w="2835" w:type="dxa"/>
          </w:tcPr>
          <w:p w:rsidR="00DA04A4" w:rsidRDefault="00DA04A4">
            <w:pPr>
              <w:pStyle w:val="-2"/>
              <w:ind w:firstLine="0"/>
              <w:rPr>
                <w:snapToGrid w:val="0"/>
              </w:rPr>
            </w:pPr>
            <w:r>
              <w:rPr>
                <w:snapToGrid w:val="0"/>
              </w:rPr>
              <w:t>в том числе регионы:</w:t>
            </w:r>
          </w:p>
        </w:tc>
        <w:tc>
          <w:tcPr>
            <w:tcW w:w="2929" w:type="dxa"/>
          </w:tcPr>
          <w:p w:rsidR="00DA04A4" w:rsidRDefault="00DA04A4">
            <w:pPr>
              <w:pStyle w:val="-2"/>
              <w:rPr>
                <w:snapToGrid w:val="0"/>
              </w:rPr>
            </w:pPr>
          </w:p>
        </w:tc>
        <w:tc>
          <w:tcPr>
            <w:tcW w:w="2883" w:type="dxa"/>
          </w:tcPr>
          <w:p w:rsidR="00DA04A4" w:rsidRDefault="00DA04A4">
            <w:pPr>
              <w:pStyle w:val="-2"/>
              <w:rPr>
                <w:snapToGrid w:val="0"/>
              </w:rPr>
            </w:pPr>
          </w:p>
        </w:tc>
      </w:tr>
      <w:tr w:rsidR="00DA04A4">
        <w:trPr>
          <w:trHeight w:val="240"/>
          <w:jc w:val="center"/>
        </w:trPr>
        <w:tc>
          <w:tcPr>
            <w:tcW w:w="2835" w:type="dxa"/>
          </w:tcPr>
          <w:p w:rsidR="00DA04A4" w:rsidRDefault="00DA04A4">
            <w:pPr>
              <w:pStyle w:val="-2"/>
              <w:ind w:firstLine="0"/>
              <w:rPr>
                <w:snapToGrid w:val="0"/>
              </w:rPr>
            </w:pPr>
            <w:r>
              <w:rPr>
                <w:snapToGrid w:val="0"/>
              </w:rPr>
              <w:t>Северо-Западный</w:t>
            </w:r>
          </w:p>
        </w:tc>
        <w:tc>
          <w:tcPr>
            <w:tcW w:w="2929" w:type="dxa"/>
          </w:tcPr>
          <w:p w:rsidR="00DA04A4" w:rsidRDefault="00DA04A4">
            <w:pPr>
              <w:pStyle w:val="-2"/>
              <w:rPr>
                <w:snapToGrid w:val="0"/>
              </w:rPr>
            </w:pPr>
            <w:r>
              <w:rPr>
                <w:snapToGrid w:val="0"/>
              </w:rPr>
              <w:t>92,7</w:t>
            </w:r>
          </w:p>
        </w:tc>
        <w:tc>
          <w:tcPr>
            <w:tcW w:w="2883" w:type="dxa"/>
          </w:tcPr>
          <w:p w:rsidR="00DA04A4" w:rsidRDefault="00DA04A4">
            <w:pPr>
              <w:pStyle w:val="-2"/>
              <w:rPr>
                <w:snapToGrid w:val="0"/>
              </w:rPr>
            </w:pPr>
            <w:r>
              <w:rPr>
                <w:snapToGrid w:val="0"/>
              </w:rPr>
              <w:t>116,9</w:t>
            </w:r>
          </w:p>
        </w:tc>
      </w:tr>
      <w:tr w:rsidR="00DA04A4">
        <w:trPr>
          <w:trHeight w:val="240"/>
          <w:jc w:val="center"/>
        </w:trPr>
        <w:tc>
          <w:tcPr>
            <w:tcW w:w="2835" w:type="dxa"/>
          </w:tcPr>
          <w:p w:rsidR="00DA04A4" w:rsidRDefault="00DA04A4">
            <w:pPr>
              <w:pStyle w:val="-2"/>
              <w:ind w:firstLine="0"/>
              <w:rPr>
                <w:snapToGrid w:val="0"/>
              </w:rPr>
            </w:pPr>
            <w:r>
              <w:rPr>
                <w:snapToGrid w:val="0"/>
              </w:rPr>
              <w:t>Уральский</w:t>
            </w:r>
          </w:p>
        </w:tc>
        <w:tc>
          <w:tcPr>
            <w:tcW w:w="2929" w:type="dxa"/>
          </w:tcPr>
          <w:p w:rsidR="00DA04A4" w:rsidRDefault="00DA04A4">
            <w:pPr>
              <w:pStyle w:val="-2"/>
              <w:rPr>
                <w:snapToGrid w:val="0"/>
              </w:rPr>
            </w:pPr>
            <w:r>
              <w:rPr>
                <w:snapToGrid w:val="0"/>
              </w:rPr>
              <w:t>97,5</w:t>
            </w:r>
          </w:p>
        </w:tc>
        <w:tc>
          <w:tcPr>
            <w:tcW w:w="2883" w:type="dxa"/>
          </w:tcPr>
          <w:p w:rsidR="00DA04A4" w:rsidRDefault="00DA04A4">
            <w:pPr>
              <w:pStyle w:val="-2"/>
              <w:rPr>
                <w:snapToGrid w:val="0"/>
              </w:rPr>
            </w:pPr>
            <w:r>
              <w:rPr>
                <w:snapToGrid w:val="0"/>
              </w:rPr>
              <w:t>112,7</w:t>
            </w:r>
          </w:p>
        </w:tc>
      </w:tr>
      <w:tr w:rsidR="00DA04A4">
        <w:trPr>
          <w:trHeight w:val="240"/>
          <w:jc w:val="center"/>
        </w:trPr>
        <w:tc>
          <w:tcPr>
            <w:tcW w:w="2835" w:type="dxa"/>
          </w:tcPr>
          <w:p w:rsidR="00DA04A4" w:rsidRDefault="00DA04A4">
            <w:pPr>
              <w:pStyle w:val="-2"/>
              <w:ind w:firstLine="0"/>
              <w:rPr>
                <w:snapToGrid w:val="0"/>
              </w:rPr>
            </w:pPr>
            <w:r>
              <w:rPr>
                <w:snapToGrid w:val="0"/>
              </w:rPr>
              <w:t>Западно-Сибирский</w:t>
            </w:r>
          </w:p>
        </w:tc>
        <w:tc>
          <w:tcPr>
            <w:tcW w:w="2929" w:type="dxa"/>
          </w:tcPr>
          <w:p w:rsidR="00DA04A4" w:rsidRDefault="00DA04A4">
            <w:pPr>
              <w:pStyle w:val="-2"/>
              <w:rPr>
                <w:snapToGrid w:val="0"/>
              </w:rPr>
            </w:pPr>
            <w:r>
              <w:rPr>
                <w:snapToGrid w:val="0"/>
              </w:rPr>
              <w:t>100,1</w:t>
            </w:r>
          </w:p>
        </w:tc>
        <w:tc>
          <w:tcPr>
            <w:tcW w:w="2883" w:type="dxa"/>
          </w:tcPr>
          <w:p w:rsidR="00DA04A4" w:rsidRDefault="00DA04A4">
            <w:pPr>
              <w:pStyle w:val="-2"/>
              <w:rPr>
                <w:snapToGrid w:val="0"/>
              </w:rPr>
            </w:pPr>
            <w:r>
              <w:rPr>
                <w:snapToGrid w:val="0"/>
              </w:rPr>
              <w:t>111,1</w:t>
            </w:r>
          </w:p>
        </w:tc>
      </w:tr>
      <w:tr w:rsidR="00DA04A4">
        <w:trPr>
          <w:trHeight w:val="240"/>
          <w:jc w:val="center"/>
        </w:trPr>
        <w:tc>
          <w:tcPr>
            <w:tcW w:w="2835" w:type="dxa"/>
          </w:tcPr>
          <w:p w:rsidR="00DA04A4" w:rsidRDefault="00DA04A4">
            <w:pPr>
              <w:pStyle w:val="-2"/>
              <w:ind w:firstLine="0"/>
              <w:rPr>
                <w:snapToGrid w:val="0"/>
              </w:rPr>
            </w:pPr>
            <w:r>
              <w:rPr>
                <w:snapToGrid w:val="0"/>
              </w:rPr>
              <w:t>Восточно-Сибирский</w:t>
            </w:r>
          </w:p>
        </w:tc>
        <w:tc>
          <w:tcPr>
            <w:tcW w:w="2929" w:type="dxa"/>
          </w:tcPr>
          <w:p w:rsidR="00DA04A4" w:rsidRDefault="00DA04A4">
            <w:pPr>
              <w:pStyle w:val="-2"/>
              <w:rPr>
                <w:snapToGrid w:val="0"/>
              </w:rPr>
            </w:pPr>
            <w:r>
              <w:rPr>
                <w:snapToGrid w:val="0"/>
              </w:rPr>
              <w:t>96,7</w:t>
            </w:r>
          </w:p>
        </w:tc>
        <w:tc>
          <w:tcPr>
            <w:tcW w:w="2883" w:type="dxa"/>
          </w:tcPr>
          <w:p w:rsidR="00DA04A4" w:rsidRDefault="00DA04A4">
            <w:pPr>
              <w:pStyle w:val="-2"/>
              <w:rPr>
                <w:snapToGrid w:val="0"/>
              </w:rPr>
            </w:pPr>
            <w:r>
              <w:rPr>
                <w:snapToGrid w:val="0"/>
              </w:rPr>
              <w:t>111,9</w:t>
            </w:r>
          </w:p>
        </w:tc>
      </w:tr>
      <w:tr w:rsidR="00DA04A4">
        <w:trPr>
          <w:trHeight w:val="220"/>
          <w:jc w:val="center"/>
        </w:trPr>
        <w:tc>
          <w:tcPr>
            <w:tcW w:w="2835" w:type="dxa"/>
          </w:tcPr>
          <w:p w:rsidR="00DA04A4" w:rsidRDefault="00DA04A4">
            <w:pPr>
              <w:pStyle w:val="-2"/>
              <w:ind w:firstLine="0"/>
              <w:rPr>
                <w:snapToGrid w:val="0"/>
              </w:rPr>
            </w:pPr>
            <w:r>
              <w:rPr>
                <w:snapToGrid w:val="0"/>
              </w:rPr>
              <w:t>Дальневосточный</w:t>
            </w:r>
          </w:p>
        </w:tc>
        <w:tc>
          <w:tcPr>
            <w:tcW w:w="2929" w:type="dxa"/>
          </w:tcPr>
          <w:p w:rsidR="00DA04A4" w:rsidRDefault="00DA04A4">
            <w:pPr>
              <w:pStyle w:val="-2"/>
              <w:rPr>
                <w:snapToGrid w:val="0"/>
              </w:rPr>
            </w:pPr>
            <w:r>
              <w:rPr>
                <w:snapToGrid w:val="0"/>
              </w:rPr>
              <w:t>92,1</w:t>
            </w:r>
          </w:p>
        </w:tc>
        <w:tc>
          <w:tcPr>
            <w:tcW w:w="2883" w:type="dxa"/>
          </w:tcPr>
          <w:p w:rsidR="00DA04A4" w:rsidRDefault="00DA04A4">
            <w:pPr>
              <w:pStyle w:val="-2"/>
              <w:rPr>
                <w:snapToGrid w:val="0"/>
              </w:rPr>
            </w:pPr>
            <w:r>
              <w:rPr>
                <w:snapToGrid w:val="0"/>
              </w:rPr>
              <w:t>112,0</w:t>
            </w:r>
          </w:p>
        </w:tc>
      </w:tr>
    </w:tbl>
    <w:p w:rsidR="00DA04A4" w:rsidRDefault="00DA04A4">
      <w:pPr>
        <w:pStyle w:val="-2"/>
        <w:rPr>
          <w:b/>
          <w:snapToGrid w:val="0"/>
          <w:lang w:val="ru-RU"/>
        </w:rPr>
      </w:pPr>
    </w:p>
    <w:p w:rsidR="00DA04A4" w:rsidRDefault="00DA04A4">
      <w:pPr>
        <w:pStyle w:val="-2"/>
        <w:rPr>
          <w:snapToGrid w:val="0"/>
        </w:rPr>
      </w:pPr>
      <w:r>
        <w:rPr>
          <w:snapToGrid w:val="0"/>
        </w:rPr>
        <w:t>Отрасли металлургического комплекса в ближайшей перспективе будут развиваться сравнительно невысокими темпами прежде всего в связи с их высокой энергоемкостью. К 2000 г. в первом варианте продукция этого комплекса останется практически на уровне 1995 г., а на Урале и в Западной Сибири она возрастет на 1,4, в Восточной Сибири —на 2%. В условиях низкого уровня инвестиционной активности и соответственно низких темпов роста основных металлопотребляющих отраслей развитие комплекса во все большей мере будет ориентироваться на экспорт. За 1996—2000 гг. чистый вывоз цветных металлов из России увеличится более чем на 18%, при этом по цветным металлам из Уральского региона</w:t>
      </w:r>
      <w:r>
        <w:rPr>
          <w:snapToGrid w:val="0"/>
          <w:lang w:val="ru-RU"/>
        </w:rPr>
        <w:t xml:space="preserve"> </w:t>
      </w:r>
      <w:r>
        <w:rPr>
          <w:snapToGrid w:val="0"/>
        </w:rPr>
        <w:t>—</w:t>
      </w:r>
      <w:r>
        <w:rPr>
          <w:snapToGrid w:val="0"/>
          <w:lang w:val="ru-RU"/>
        </w:rPr>
        <w:t xml:space="preserve"> </w:t>
      </w:r>
      <w:r>
        <w:rPr>
          <w:snapToGrid w:val="0"/>
        </w:rPr>
        <w:t>на 11%</w:t>
      </w:r>
      <w:r>
        <w:rPr>
          <w:snapToGrid w:val="0"/>
          <w:lang w:val="ru-RU"/>
        </w:rPr>
        <w:t xml:space="preserve">. </w:t>
      </w:r>
      <w:r>
        <w:rPr>
          <w:rStyle w:val="a4"/>
          <w:snapToGrid w:val="0"/>
          <w:lang w:val="ru-RU"/>
        </w:rPr>
        <w:footnoteReference w:id="18"/>
      </w:r>
    </w:p>
    <w:p w:rsidR="00DA04A4" w:rsidRDefault="00DA04A4">
      <w:pPr>
        <w:pStyle w:val="-2"/>
        <w:rPr>
          <w:snapToGrid w:val="0"/>
        </w:rPr>
      </w:pPr>
      <w:r>
        <w:rPr>
          <w:snapToGrid w:val="0"/>
        </w:rPr>
        <w:t>Во втором варианте ожидается рост продукции металлургического комплекса на 6%, в том числе по цветной металлургии Урала — на 10, Восточной Сибири — на 12, Дальнего Востока — на 8%. Несмотря на сравнительно более высокие в данном варианте масштабы роста производства вывоз металлургической продукции из России будет существенно меньшим, чем в первом варианте. Вывоз цветных металлов будет также ниже, чем в первом варианте, однако по равнению с 1995 г. он несколько увеличится.</w:t>
      </w:r>
    </w:p>
    <w:p w:rsidR="00DA04A4" w:rsidRDefault="00DA04A4">
      <w:pPr>
        <w:pStyle w:val="-2"/>
        <w:rPr>
          <w:snapToGrid w:val="0"/>
          <w:lang w:val="ru-RU"/>
        </w:rPr>
      </w:pPr>
      <w:r>
        <w:rPr>
          <w:snapToGrid w:val="0"/>
        </w:rPr>
        <w:t>Анализ прогнозируемой региональной структуры производства продукции отдельных отрас</w:t>
      </w:r>
      <w:r>
        <w:rPr>
          <w:snapToGrid w:val="0"/>
        </w:rPr>
        <w:softHyphen/>
        <w:t>лей показал, что тенденция к усилению межрегиональных различий в уровнях производства про</w:t>
      </w:r>
      <w:r>
        <w:rPr>
          <w:snapToGrid w:val="0"/>
        </w:rPr>
        <w:softHyphen/>
        <w:t>дукции на душу населения в перспективе до 2000 г. сохранится, и особенно резко — в варианте рыночного развития.</w:t>
      </w:r>
    </w:p>
    <w:p w:rsidR="00DA04A4" w:rsidRDefault="00DA04A4">
      <w:pPr>
        <w:pStyle w:val="-10"/>
        <w:rPr>
          <w:snapToGrid w:val="0"/>
        </w:rPr>
      </w:pPr>
      <w:bookmarkStart w:id="10" w:name="_Toc437260972"/>
      <w:r>
        <w:rPr>
          <w:snapToGrid w:val="0"/>
        </w:rPr>
        <w:t>Анализ деятельности крупнейшие предприятия цветной металлургии.</w:t>
      </w:r>
      <w:bookmarkEnd w:id="10"/>
    </w:p>
    <w:p w:rsidR="00DA04A4" w:rsidRDefault="00DA04A4">
      <w:pPr>
        <w:pStyle w:val="-11"/>
        <w:rPr>
          <w:snapToGrid w:val="0"/>
        </w:rPr>
      </w:pPr>
      <w:r>
        <w:tab/>
      </w:r>
      <w:bookmarkStart w:id="11" w:name="_Toc437260973"/>
      <w:r>
        <w:rPr>
          <w:snapToGrid w:val="0"/>
        </w:rPr>
        <w:t>РАО «Норильский никель»</w:t>
      </w:r>
      <w:bookmarkEnd w:id="11"/>
    </w:p>
    <w:p w:rsidR="00DA04A4" w:rsidRDefault="00DA04A4">
      <w:pPr>
        <w:pStyle w:val="-2"/>
        <w:rPr>
          <w:snapToGrid w:val="0"/>
          <w:lang w:val="ru-RU"/>
        </w:rPr>
      </w:pPr>
    </w:p>
    <w:p w:rsidR="00DA04A4" w:rsidRDefault="00DA04A4">
      <w:pPr>
        <w:pStyle w:val="-2"/>
        <w:rPr>
          <w:snapToGrid w:val="0"/>
          <w:lang w:val="ru-RU"/>
        </w:rPr>
      </w:pPr>
      <w:r>
        <w:rPr>
          <w:snapToGrid w:val="0"/>
          <w:lang w:val="ru-RU"/>
        </w:rPr>
        <w:t>1997</w:t>
      </w:r>
      <w:r>
        <w:rPr>
          <w:snapToGrid w:val="0"/>
        </w:rPr>
        <w:t xml:space="preserve"> год для «Норильского никеля» был перелом</w:t>
      </w:r>
      <w:r>
        <w:rPr>
          <w:snapToGrid w:val="0"/>
        </w:rPr>
        <w:softHyphen/>
        <w:t>ным. С приходом в компанию Онэксимбанка летом 1996 года появилась надежда на выход РАО из структур</w:t>
      </w:r>
      <w:r>
        <w:rPr>
          <w:snapToGrid w:val="0"/>
        </w:rPr>
        <w:softHyphen/>
        <w:t>ного кризиса 5 августа 1997 года Онэксимбанк оконча</w:t>
      </w:r>
      <w:r>
        <w:rPr>
          <w:snapToGrid w:val="0"/>
        </w:rPr>
        <w:softHyphen/>
        <w:t>тельно закрепил за собой право на управление «Норил</w:t>
      </w:r>
      <w:r>
        <w:rPr>
          <w:snapToGrid w:val="0"/>
          <w:lang w:val="ru-RU"/>
        </w:rPr>
        <w:t>ь</w:t>
      </w:r>
      <w:r>
        <w:rPr>
          <w:snapToGrid w:val="0"/>
        </w:rPr>
        <w:t>ским никелем», выкупив у государства через одну из сво</w:t>
      </w:r>
      <w:r>
        <w:rPr>
          <w:snapToGrid w:val="0"/>
        </w:rPr>
        <w:softHyphen/>
        <w:t>их структур (ЗАО «Свифт») полученный ранее в качестве залога пакет в 38% акций</w:t>
      </w:r>
      <w:r>
        <w:rPr>
          <w:snapToGrid w:val="0"/>
          <w:lang w:val="ru-RU"/>
        </w:rPr>
        <w:t>.</w:t>
      </w:r>
      <w:r>
        <w:rPr>
          <w:snapToGrid w:val="0"/>
        </w:rPr>
        <w:t xml:space="preserve"> Новый собственник планиро</w:t>
      </w:r>
      <w:r>
        <w:rPr>
          <w:snapToGrid w:val="0"/>
        </w:rPr>
        <w:softHyphen/>
        <w:t>вал к концу 1997 года вывести компанию на уровень бе</w:t>
      </w:r>
      <w:r>
        <w:rPr>
          <w:snapToGrid w:val="0"/>
        </w:rPr>
        <w:softHyphen/>
        <w:t>зубыточности, а в 1998 году получить прибыль и начать масштабные инвестиции в предприятия РАО, в первую очередь в развитие горнорудной базы. Потребность в ин</w:t>
      </w:r>
      <w:r>
        <w:rPr>
          <w:snapToGrid w:val="0"/>
        </w:rPr>
        <w:softHyphen/>
        <w:t>вестициях РАО «Норильский никель» составляет 2 млрд домаров на два года. 382 млн долларов было получено путем размещения дополнительной эмиссии акций (60% акций были размещены среди прежних акционеров по подписке, 40% выкуплены ПК «Ренессанс Капитал», в результате Онэксимбанк стал контролировать 54% акций РАО) Остальные средства РАО намерено привлекать за счет займов. Так, весной 1998 года «Норильский никель» получил кредит в размере 110 млн</w:t>
      </w:r>
      <w:r>
        <w:rPr>
          <w:snapToGrid w:val="0"/>
          <w:lang w:val="ru-RU"/>
        </w:rPr>
        <w:t>.</w:t>
      </w:r>
      <w:r>
        <w:rPr>
          <w:snapToGrid w:val="0"/>
        </w:rPr>
        <w:t xml:space="preserve"> долларов от ING Barings под гарантии поставок меди конечным пот</w:t>
      </w:r>
      <w:r>
        <w:rPr>
          <w:snapToGrid w:val="0"/>
        </w:rPr>
        <w:softHyphen/>
        <w:t>ребителям</w:t>
      </w:r>
      <w:r>
        <w:rPr>
          <w:snapToGrid w:val="0"/>
          <w:lang w:val="ru-RU"/>
        </w:rPr>
        <w:t>.</w:t>
      </w:r>
    </w:p>
    <w:p w:rsidR="00DA04A4" w:rsidRDefault="00DA04A4">
      <w:pPr>
        <w:pStyle w:val="-2"/>
        <w:rPr>
          <w:snapToGrid w:val="0"/>
        </w:rPr>
      </w:pPr>
      <w:r>
        <w:rPr>
          <w:snapToGrid w:val="0"/>
        </w:rPr>
        <w:t>Первоочередной задачей руководства РАО была лик</w:t>
      </w:r>
      <w:r>
        <w:rPr>
          <w:snapToGrid w:val="0"/>
        </w:rPr>
        <w:softHyphen/>
        <w:t>видация крупных задолженностей его дочерних струк</w:t>
      </w:r>
      <w:r>
        <w:rPr>
          <w:snapToGrid w:val="0"/>
        </w:rPr>
        <w:softHyphen/>
        <w:t>тур. В ноябре 1997 года было подписано генеральное соглашение о реструктуризации задолженности РАО пе</w:t>
      </w:r>
      <w:r>
        <w:rPr>
          <w:snapToGrid w:val="0"/>
        </w:rPr>
        <w:softHyphen/>
        <w:t>ред бюджетом Красноярского края (1,7 млрд рублей)</w:t>
      </w:r>
      <w:r>
        <w:rPr>
          <w:snapToGrid w:val="0"/>
          <w:lang w:val="ru-RU"/>
        </w:rPr>
        <w:t>.</w:t>
      </w:r>
      <w:r>
        <w:rPr>
          <w:snapToGrid w:val="0"/>
        </w:rPr>
        <w:t xml:space="preserve"> В счет погашения части долга общество передало в соб</w:t>
      </w:r>
      <w:r>
        <w:rPr>
          <w:snapToGrid w:val="0"/>
        </w:rPr>
        <w:softHyphen/>
        <w:t>ственность краевой администрации крупнейшего в Рос</w:t>
      </w:r>
      <w:r>
        <w:rPr>
          <w:snapToGrid w:val="0"/>
        </w:rPr>
        <w:softHyphen/>
        <w:t>сии производителя платины — Красноярский завод цветных металлов (КЗЦМ), остальную часть «Норильский никель» покроет поставками своей продукции предприя</w:t>
      </w:r>
      <w:r>
        <w:rPr>
          <w:snapToGrid w:val="0"/>
        </w:rPr>
        <w:softHyphen/>
        <w:t>тиям края. Всего за 1997 год дочерние предприятия РАО погасили задолженности прошлых лет по налогам в бюджеты различных уровней на 1279,8 млрд рублей</w:t>
      </w:r>
    </w:p>
    <w:p w:rsidR="00DA04A4" w:rsidRDefault="00DA04A4">
      <w:pPr>
        <w:pStyle w:val="-2"/>
        <w:rPr>
          <w:snapToGrid w:val="0"/>
        </w:rPr>
      </w:pPr>
      <w:r>
        <w:rPr>
          <w:snapToGrid w:val="0"/>
        </w:rPr>
        <w:t>В 1997 году РАО произвело никеля на 23,7% больше по сравнению с 1996 годом. Возросло и производство других металлов: меди выпущено на 10% больше, ко</w:t>
      </w:r>
      <w:r>
        <w:rPr>
          <w:snapToGrid w:val="0"/>
        </w:rPr>
        <w:softHyphen/>
        <w:t>бальта</w:t>
      </w:r>
      <w:r>
        <w:rPr>
          <w:snapToGrid w:val="0"/>
          <w:lang w:val="ru-RU"/>
        </w:rPr>
        <w:t xml:space="preserve"> </w:t>
      </w:r>
      <w:r>
        <w:rPr>
          <w:snapToGrid w:val="0"/>
        </w:rPr>
        <w:t>— на 37,5%, металлов платиновой группы</w:t>
      </w:r>
      <w:r>
        <w:rPr>
          <w:snapToGrid w:val="0"/>
          <w:lang w:val="ru-RU"/>
        </w:rPr>
        <w:t xml:space="preserve"> </w:t>
      </w:r>
      <w:r>
        <w:rPr>
          <w:snapToGrid w:val="0"/>
        </w:rPr>
        <w:t>— на 10,4% больше, чем в 1996 году. По всем видам ме</w:t>
      </w:r>
      <w:r>
        <w:rPr>
          <w:snapToGrid w:val="0"/>
        </w:rPr>
        <w:softHyphen/>
        <w:t>таллов в связи со значительным ростом объемов произ</w:t>
      </w:r>
      <w:r>
        <w:rPr>
          <w:snapToGrid w:val="0"/>
        </w:rPr>
        <w:softHyphen/>
        <w:t>водства отмечен рост объемов экспорта. Так, рост эк</w:t>
      </w:r>
      <w:r>
        <w:rPr>
          <w:snapToGrid w:val="0"/>
        </w:rPr>
        <w:softHyphen/>
        <w:t>спорта никеля составил 66,2%, меди — 41,9%, кобаль</w:t>
      </w:r>
      <w:r>
        <w:rPr>
          <w:snapToGrid w:val="0"/>
        </w:rPr>
        <w:softHyphen/>
        <w:t>та — 356,1%. А вот объем продаж на внутреннем рын</w:t>
      </w:r>
      <w:r>
        <w:rPr>
          <w:snapToGrid w:val="0"/>
        </w:rPr>
        <w:softHyphen/>
        <w:t>ке после отказа от бартерных операций значительно снизился. В 1997 году он составил по никелю лишь 12,9% от уровня 1996 г., по меди — 16,2%, по ко</w:t>
      </w:r>
      <w:r>
        <w:rPr>
          <w:snapToGrid w:val="0"/>
        </w:rPr>
        <w:softHyphen/>
        <w:t>бальту —1,35%.</w:t>
      </w:r>
    </w:p>
    <w:p w:rsidR="00DA04A4" w:rsidRDefault="00DA04A4">
      <w:pPr>
        <w:pStyle w:val="-2"/>
        <w:rPr>
          <w:snapToGrid w:val="0"/>
          <w:lang w:val="ru-RU"/>
        </w:rPr>
      </w:pPr>
      <w:r>
        <w:rPr>
          <w:snapToGrid w:val="0"/>
        </w:rPr>
        <w:t>К 1998 году положение комбината ухудшилось из-за устойчивого падения цен на мировых рынках цветных металлов (прежде всего на никель) в 1997-1998 гг</w:t>
      </w:r>
      <w:r>
        <w:rPr>
          <w:snapToGrid w:val="0"/>
          <w:lang w:val="ru-RU"/>
        </w:rPr>
        <w:t>.</w:t>
      </w:r>
      <w:r>
        <w:rPr>
          <w:snapToGrid w:val="0"/>
        </w:rPr>
        <w:t xml:space="preserve"> За пять месяцев 1998 года убытки РАО составили 700 млн долларов. Их не удастся компенсировать даже в случае роста цен на металлы платиновой группы</w:t>
      </w:r>
      <w:r>
        <w:rPr>
          <w:snapToGrid w:val="0"/>
          <w:lang w:val="ru-RU"/>
        </w:rPr>
        <w:t>.</w:t>
      </w:r>
      <w:r>
        <w:rPr>
          <w:snapToGrid w:val="0"/>
        </w:rPr>
        <w:t xml:space="preserve"> Поскольку прогноз конъюнктуры рынков цветных металлов неуте</w:t>
      </w:r>
      <w:r>
        <w:rPr>
          <w:snapToGrid w:val="0"/>
        </w:rPr>
        <w:softHyphen/>
        <w:t>шителен, руководство сосредоточивает усилия на повы</w:t>
      </w:r>
      <w:r>
        <w:rPr>
          <w:snapToGrid w:val="0"/>
        </w:rPr>
        <w:softHyphen/>
        <w:t>шении конкурентоспособности производства и продук</w:t>
      </w:r>
      <w:r>
        <w:rPr>
          <w:snapToGrid w:val="0"/>
        </w:rPr>
        <w:softHyphen/>
        <w:t>ции. Важнейшие задачи для «Норильского никеля» на ближайшую перспективу — техническое перевооруже</w:t>
      </w:r>
      <w:r>
        <w:rPr>
          <w:snapToGrid w:val="0"/>
        </w:rPr>
        <w:softHyphen/>
        <w:t>ние рафинировочных переделов никеля и кобальтового</w:t>
      </w:r>
      <w:r>
        <w:rPr>
          <w:snapToGrid w:val="0"/>
          <w:lang w:val="ru-RU"/>
        </w:rPr>
        <w:t xml:space="preserve"> </w:t>
      </w:r>
      <w:r>
        <w:rPr>
          <w:snapToGrid w:val="0"/>
        </w:rPr>
        <w:t>производства, ввод в эксплуатацию и освоение произ</w:t>
      </w:r>
      <w:r>
        <w:rPr>
          <w:snapToGrid w:val="0"/>
        </w:rPr>
        <w:softHyphen/>
        <w:t>водства солей кобальта на АО «Комбинат „Североникель"», завершение геологоразведочных работ на Сопчеозерском месторождении хромитов</w:t>
      </w:r>
      <w:r>
        <w:rPr>
          <w:snapToGrid w:val="0"/>
          <w:lang w:val="ru-RU"/>
        </w:rPr>
        <w:t>.</w:t>
      </w:r>
      <w:r>
        <w:rPr>
          <w:rStyle w:val="a4"/>
          <w:snapToGrid w:val="0"/>
          <w:lang w:val="ru-RU"/>
        </w:rPr>
        <w:footnoteReference w:id="19"/>
      </w:r>
    </w:p>
    <w:p w:rsidR="00DA04A4" w:rsidRDefault="00DA04A4">
      <w:pPr>
        <w:pStyle w:val="-2"/>
        <w:rPr>
          <w:snapToGrid w:val="0"/>
          <w:lang w:val="ru-RU"/>
        </w:rPr>
      </w:pPr>
    </w:p>
    <w:p w:rsidR="00DA04A4" w:rsidRDefault="00DA04A4">
      <w:pPr>
        <w:pStyle w:val="-11"/>
        <w:rPr>
          <w:snapToGrid w:val="0"/>
        </w:rPr>
      </w:pPr>
      <w:r>
        <w:t xml:space="preserve"> </w:t>
      </w:r>
      <w:bookmarkStart w:id="12" w:name="_Toc437260974"/>
      <w:r>
        <w:rPr>
          <w:snapToGrid w:val="0"/>
        </w:rPr>
        <w:t>Красноярский алюминиевый завод</w:t>
      </w:r>
      <w:bookmarkEnd w:id="12"/>
    </w:p>
    <w:p w:rsidR="00DA04A4" w:rsidRDefault="00DA04A4">
      <w:pPr>
        <w:pStyle w:val="-2"/>
        <w:rPr>
          <w:snapToGrid w:val="0"/>
          <w:lang w:val="ru-RU"/>
        </w:rPr>
      </w:pPr>
    </w:p>
    <w:p w:rsidR="00DA04A4" w:rsidRDefault="00DA04A4">
      <w:pPr>
        <w:pStyle w:val="-2"/>
        <w:rPr>
          <w:snapToGrid w:val="0"/>
          <w:lang w:val="ru-RU"/>
        </w:rPr>
      </w:pPr>
      <w:r>
        <w:rPr>
          <w:snapToGrid w:val="0"/>
        </w:rPr>
        <w:t>Практически весь прошлый год Крас ноярский алюминиевый завод, одного из крупнейших производителей алюминия в</w:t>
      </w:r>
      <w:r>
        <w:rPr>
          <w:snapToGrid w:val="0"/>
          <w:lang w:val="ru-RU"/>
        </w:rPr>
        <w:t xml:space="preserve"> </w:t>
      </w:r>
      <w:r>
        <w:rPr>
          <w:snapToGrid w:val="0"/>
        </w:rPr>
        <w:t>мире, лихорадило</w:t>
      </w:r>
      <w:r>
        <w:rPr>
          <w:snapToGrid w:val="0"/>
          <w:lang w:val="ru-RU"/>
        </w:rPr>
        <w:t>.</w:t>
      </w:r>
      <w:r>
        <w:rPr>
          <w:snapToGrid w:val="0"/>
        </w:rPr>
        <w:t xml:space="preserve"> С одной стороны — сложившееся к началу 1997 года противоречие между высокими производствен но техническими показателями (рост объемов и модернизация производства) и низкими финансовыми результатами (резкое падение прибыли по итогам 1996 года)</w:t>
      </w:r>
      <w:r>
        <w:rPr>
          <w:snapToGrid w:val="0"/>
          <w:lang w:val="ru-RU"/>
        </w:rPr>
        <w:t>.</w:t>
      </w:r>
      <w:r>
        <w:rPr>
          <w:snapToGrid w:val="0"/>
        </w:rPr>
        <w:t xml:space="preserve"> С другой — конфликт между акционерами, в результате которого не однократно менялось руководство завода</w:t>
      </w:r>
      <w:r>
        <w:rPr>
          <w:snapToGrid w:val="0"/>
          <w:lang w:val="ru-RU"/>
        </w:rPr>
        <w:t>.</w:t>
      </w:r>
      <w:r>
        <w:rPr>
          <w:snapToGrid w:val="0"/>
        </w:rPr>
        <w:t xml:space="preserve"> С избранием в октябре 1997 года на пост генерального директора Юрия Ушенина ситуация на заводе начала стабилизироваться</w:t>
      </w:r>
      <w:r>
        <w:rPr>
          <w:snapToGrid w:val="0"/>
          <w:lang w:val="ru-RU"/>
        </w:rPr>
        <w:t>.</w:t>
      </w:r>
      <w:r>
        <w:rPr>
          <w:snapToGrid w:val="0"/>
        </w:rPr>
        <w:t xml:space="preserve"> Крупнейшие акционеры — банк Российский кредит, владеющий совместно с компаниями партнерами 28% акций TWG (11% акций) и администрация КрАЗа сумели сбалансировать свои интересы</w:t>
      </w:r>
      <w:r>
        <w:rPr>
          <w:snapToGrid w:val="0"/>
          <w:lang w:val="ru-RU"/>
        </w:rPr>
        <w:t>.</w:t>
      </w:r>
    </w:p>
    <w:p w:rsidR="00DA04A4" w:rsidRDefault="00DA04A4">
      <w:pPr>
        <w:pStyle w:val="-2"/>
        <w:rPr>
          <w:snapToGrid w:val="0"/>
          <w:lang w:val="ru-RU"/>
        </w:rPr>
      </w:pPr>
      <w:r>
        <w:rPr>
          <w:snapToGrid w:val="0"/>
        </w:rPr>
        <w:t>Несмотря на проблемы в 1997 году КрАЗ увеличил объем продаж алюминия с 782 до 790 тыс</w:t>
      </w:r>
      <w:r>
        <w:rPr>
          <w:snapToGrid w:val="0"/>
          <w:lang w:val="ru-RU"/>
        </w:rPr>
        <w:t>.</w:t>
      </w:r>
      <w:r>
        <w:rPr>
          <w:snapToGrid w:val="0"/>
        </w:rPr>
        <w:t xml:space="preserve"> тонн</w:t>
      </w:r>
      <w:r>
        <w:rPr>
          <w:snapToGrid w:val="0"/>
          <w:lang w:val="ru-RU"/>
        </w:rPr>
        <w:t>.</w:t>
      </w:r>
      <w:r>
        <w:rPr>
          <w:snapToGrid w:val="0"/>
        </w:rPr>
        <w:t xml:space="preserve"> Завод продол жает работать по толлингу, поскольку пока не удается мобилизовать 120 млн</w:t>
      </w:r>
      <w:r>
        <w:rPr>
          <w:snapToGrid w:val="0"/>
          <w:lang w:val="ru-RU"/>
        </w:rPr>
        <w:t>.</w:t>
      </w:r>
      <w:r>
        <w:rPr>
          <w:snapToGrid w:val="0"/>
        </w:rPr>
        <w:t xml:space="preserve"> долларов необходимых для перехода на абсолютно самостоятельный режим</w:t>
      </w:r>
      <w:r>
        <w:rPr>
          <w:snapToGrid w:val="0"/>
          <w:lang w:val="ru-RU"/>
        </w:rPr>
        <w:t>.</w:t>
      </w:r>
      <w:r>
        <w:rPr>
          <w:snapToGrid w:val="0"/>
        </w:rPr>
        <w:t xml:space="preserve"> Тем не менее развиваются отношения и с отечественными поставщиками гли нозема, в первую очередь с Ачинским глиноземным комбинатом (доля КрАЗа в АГК 24,53%) и Богословским алюминие вым заводом</w:t>
      </w:r>
      <w:r>
        <w:rPr>
          <w:snapToGrid w:val="0"/>
          <w:lang w:val="ru-RU"/>
        </w:rPr>
        <w:t>.</w:t>
      </w:r>
      <w:r>
        <w:rPr>
          <w:snapToGrid w:val="0"/>
        </w:rPr>
        <w:t xml:space="preserve"> Этому способствуют наличие контроля над БАЗом со стороны Российского кредита и продление сро ка внешнего управления на АГК до восьми с половиной лет с назначением внешним управляющим лояльного КрАЗу Наиля Насырова</w:t>
      </w:r>
      <w:r>
        <w:rPr>
          <w:snapToGrid w:val="0"/>
          <w:lang w:val="ru-RU"/>
        </w:rPr>
        <w:t>.</w:t>
      </w:r>
    </w:p>
    <w:p w:rsidR="00DA04A4" w:rsidRDefault="00DA04A4">
      <w:pPr>
        <w:pStyle w:val="-2"/>
        <w:rPr>
          <w:snapToGrid w:val="0"/>
          <w:lang w:val="ru-RU"/>
        </w:rPr>
      </w:pPr>
      <w:r>
        <w:rPr>
          <w:snapToGrid w:val="0"/>
        </w:rPr>
        <w:t>Благодаря возможности влияния на Красноярскую ГЭС (12,32% ГЭС принад лежит КрАЗу) заводу удается сохранять достаточно низкие тарифы на электро энергию Величина тарифа привязана к ценам на алюминий на LME и колеблет ся в пределах от 1 до 1,2 цента за кВт/ч</w:t>
      </w:r>
      <w:r>
        <w:rPr>
          <w:snapToGrid w:val="0"/>
          <w:lang w:val="ru-RU"/>
        </w:rPr>
        <w:t>.</w:t>
      </w:r>
      <w:r>
        <w:rPr>
          <w:snapToGrid w:val="0"/>
        </w:rPr>
        <w:t xml:space="preserve">   Объективно сотрудничество энергетиков и алюминщиков выгодно и тем и другим КрАЗ по предоплате (единственный  в крае) покупает 60% электроэнергии Красноярскэнерго) и обеспечивает последнему до 98% получаемых им живых денег</w:t>
      </w:r>
      <w:r>
        <w:rPr>
          <w:snapToGrid w:val="0"/>
          <w:lang w:val="ru-RU"/>
        </w:rPr>
        <w:t>.</w:t>
      </w:r>
      <w:r>
        <w:rPr>
          <w:snapToGrid w:val="0"/>
        </w:rPr>
        <w:t xml:space="preserve"> Тем не менее и здесь не обошлось без конфликтов отношения партнеров с середины </w:t>
      </w:r>
      <w:r>
        <w:rPr>
          <w:snapToGrid w:val="0"/>
          <w:lang w:val="ru-RU"/>
        </w:rPr>
        <w:t>1997</w:t>
      </w:r>
      <w:r>
        <w:rPr>
          <w:snapToGrid w:val="0"/>
        </w:rPr>
        <w:t xml:space="preserve"> года серьезно осложнялись борьбой КрАЗа и </w:t>
      </w:r>
      <w:r>
        <w:rPr>
          <w:snapToGrid w:val="0"/>
          <w:lang w:val="ru-RU"/>
        </w:rPr>
        <w:t>«</w:t>
      </w:r>
      <w:r>
        <w:rPr>
          <w:snapToGrid w:val="0"/>
        </w:rPr>
        <w:t>Красноярскэнерго</w:t>
      </w:r>
      <w:r>
        <w:rPr>
          <w:snapToGrid w:val="0"/>
          <w:lang w:val="ru-RU"/>
        </w:rPr>
        <w:t>»</w:t>
      </w:r>
      <w:r>
        <w:rPr>
          <w:snapToGrid w:val="0"/>
        </w:rPr>
        <w:t xml:space="preserve"> за контроль над Красноярской ГЭС Весной нынешнего года конфликт за вершился подписанием соглашения о стратегическом партнерстве в области тарифной и инвестиционной политики</w:t>
      </w:r>
      <w:r>
        <w:rPr>
          <w:snapToGrid w:val="0"/>
          <w:lang w:val="ru-RU"/>
        </w:rPr>
        <w:t>.</w:t>
      </w:r>
    </w:p>
    <w:p w:rsidR="00DA04A4" w:rsidRDefault="00DA04A4">
      <w:pPr>
        <w:pStyle w:val="-2"/>
        <w:rPr>
          <w:snapToGrid w:val="0"/>
          <w:lang w:val="ru-RU"/>
        </w:rPr>
      </w:pPr>
    </w:p>
    <w:p w:rsidR="00DA04A4" w:rsidRDefault="00DA04A4">
      <w:pPr>
        <w:pStyle w:val="-11"/>
        <w:rPr>
          <w:snapToGrid w:val="0"/>
        </w:rPr>
      </w:pPr>
      <w:bookmarkStart w:id="13" w:name="_Toc437260975"/>
      <w:r>
        <w:rPr>
          <w:snapToGrid w:val="0"/>
        </w:rPr>
        <w:t>Братский алюминиевый завод</w:t>
      </w:r>
      <w:bookmarkEnd w:id="13"/>
    </w:p>
    <w:p w:rsidR="00DA04A4" w:rsidRDefault="00DA04A4">
      <w:pPr>
        <w:pStyle w:val="-2"/>
        <w:rPr>
          <w:snapToGrid w:val="0"/>
          <w:lang w:val="ru-RU"/>
        </w:rPr>
      </w:pPr>
    </w:p>
    <w:p w:rsidR="00DA04A4" w:rsidRDefault="00DA04A4">
      <w:pPr>
        <w:pStyle w:val="-2"/>
        <w:rPr>
          <w:snapToGrid w:val="0"/>
        </w:rPr>
      </w:pPr>
      <w:r>
        <w:rPr>
          <w:snapToGrid w:val="0"/>
        </w:rPr>
        <w:t>В течение двух лет, вплоть до весны прошлого года, Братский алюминиевый завод выяснял отношения с одним из своих акционеров — финансовой ком</w:t>
      </w:r>
      <w:r>
        <w:rPr>
          <w:snapToGrid w:val="0"/>
        </w:rPr>
        <w:softHyphen/>
        <w:t>панией «Вашъ финансовый попечи</w:t>
      </w:r>
      <w:r>
        <w:rPr>
          <w:snapToGrid w:val="0"/>
        </w:rPr>
        <w:softHyphen/>
        <w:t>тель» (ВФП), владеющей совместно с дружественными компаниями 25% ак</w:t>
      </w:r>
      <w:r>
        <w:rPr>
          <w:snapToGrid w:val="0"/>
        </w:rPr>
        <w:softHyphen/>
        <w:t>ций завода. Причиной конфликта послу</w:t>
      </w:r>
      <w:r>
        <w:rPr>
          <w:snapToGrid w:val="0"/>
        </w:rPr>
        <w:softHyphen/>
        <w:t>жило то, что два года подряд собрание акционеров ОАО «БрАЗ» не вводило в состав совета директоров представите</w:t>
      </w:r>
      <w:r>
        <w:rPr>
          <w:snapToGrid w:val="0"/>
        </w:rPr>
        <w:softHyphen/>
        <w:t>лей ВФП, отдавая предпочтение пред</w:t>
      </w:r>
      <w:r>
        <w:rPr>
          <w:snapToGrid w:val="0"/>
        </w:rPr>
        <w:softHyphen/>
        <w:t>ставителям TWG (контролировало свыше 50% акций). ВФП ини</w:t>
      </w:r>
      <w:r>
        <w:rPr>
          <w:snapToGrid w:val="0"/>
        </w:rPr>
        <w:softHyphen/>
        <w:t>циировал одно за другим судебные раз</w:t>
      </w:r>
      <w:r>
        <w:rPr>
          <w:snapToGrid w:val="0"/>
        </w:rPr>
        <w:softHyphen/>
        <w:t>бирательства по поводу легитимности составов совета директоров. В апреле</w:t>
      </w:r>
      <w:r>
        <w:rPr>
          <w:snapToGrid w:val="0"/>
          <w:lang w:val="ru-RU"/>
        </w:rPr>
        <w:t xml:space="preserve"> </w:t>
      </w:r>
      <w:r>
        <w:rPr>
          <w:snapToGrid w:val="0"/>
        </w:rPr>
        <w:t>1997 года кассационная инстанция Фе</w:t>
      </w:r>
      <w:r>
        <w:rPr>
          <w:snapToGrid w:val="0"/>
        </w:rPr>
        <w:softHyphen/>
        <w:t>дерального арбитражного суда Восточ</w:t>
      </w:r>
      <w:r>
        <w:rPr>
          <w:snapToGrid w:val="0"/>
        </w:rPr>
        <w:softHyphen/>
        <w:t>но-Сибирского округа подтвердила легитимность действовавшего в тот мо</w:t>
      </w:r>
      <w:r>
        <w:rPr>
          <w:snapToGrid w:val="0"/>
        </w:rPr>
        <w:softHyphen/>
        <w:t>мент состава совета, не оставив ВФП возможности для обжалования этого решения.</w:t>
      </w:r>
    </w:p>
    <w:p w:rsidR="00DA04A4" w:rsidRDefault="00DA04A4">
      <w:pPr>
        <w:pStyle w:val="-2"/>
        <w:rPr>
          <w:snapToGrid w:val="0"/>
        </w:rPr>
      </w:pPr>
      <w:r>
        <w:rPr>
          <w:snapToGrid w:val="0"/>
        </w:rPr>
        <w:t>Есть основания полагать, что дрязги с одним из акционеров осложняли жизнь руководства БрАЗа, не слишком влияя на его производственную полити</w:t>
      </w:r>
      <w:r>
        <w:rPr>
          <w:snapToGrid w:val="0"/>
        </w:rPr>
        <w:softHyphen/>
        <w:t>ку. И в 1996</w:t>
      </w:r>
      <w:r>
        <w:rPr>
          <w:snapToGrid w:val="0"/>
          <w:lang w:val="ru-RU"/>
        </w:rPr>
        <w:t xml:space="preserve"> г.</w:t>
      </w:r>
      <w:r>
        <w:rPr>
          <w:snapToGrid w:val="0"/>
        </w:rPr>
        <w:t>, и в 1997 годах БрАЗ ра</w:t>
      </w:r>
      <w:r>
        <w:rPr>
          <w:snapToGrid w:val="0"/>
        </w:rPr>
        <w:softHyphen/>
        <w:t xml:space="preserve">ботал достаточно стабильно. В </w:t>
      </w:r>
      <w:r>
        <w:rPr>
          <w:snapToGrid w:val="0"/>
          <w:lang w:val="ru-RU"/>
        </w:rPr>
        <w:t xml:space="preserve">1997 </w:t>
      </w:r>
      <w:r>
        <w:rPr>
          <w:snapToGrid w:val="0"/>
        </w:rPr>
        <w:t>году завод произвел около 800 тыс. тонн алюминия, на 17 тыс. тонн боль</w:t>
      </w:r>
      <w:r>
        <w:rPr>
          <w:snapToGrid w:val="0"/>
        </w:rPr>
        <w:softHyphen/>
        <w:t>ше, чем в предыдущем. Выручка от ре</w:t>
      </w:r>
      <w:r>
        <w:rPr>
          <w:snapToGrid w:val="0"/>
        </w:rPr>
        <w:softHyphen/>
        <w:t>ализации продукции за год увеличилась более чем на 28%. 94,6% выручки сос</w:t>
      </w:r>
      <w:r>
        <w:rPr>
          <w:snapToGrid w:val="0"/>
        </w:rPr>
        <w:softHyphen/>
        <w:t>тавили живые деньги, в том числе 70% — валютные поступления.</w:t>
      </w:r>
    </w:p>
    <w:p w:rsidR="00DA04A4" w:rsidRDefault="00DA04A4">
      <w:pPr>
        <w:pStyle w:val="-2"/>
        <w:rPr>
          <w:snapToGrid w:val="0"/>
        </w:rPr>
      </w:pPr>
      <w:r>
        <w:rPr>
          <w:snapToGrid w:val="0"/>
        </w:rPr>
        <w:t>Рост выручки был достигнут за счет трех основных факторов:</w:t>
      </w:r>
    </w:p>
    <w:p w:rsidR="00DA04A4" w:rsidRDefault="00DA04A4">
      <w:pPr>
        <w:pStyle w:val="-2"/>
        <w:numPr>
          <w:ilvl w:val="0"/>
          <w:numId w:val="34"/>
        </w:numPr>
        <w:rPr>
          <w:snapToGrid w:val="0"/>
        </w:rPr>
      </w:pPr>
      <w:r>
        <w:rPr>
          <w:snapToGrid w:val="0"/>
        </w:rPr>
        <w:t>увеличения объемов отгрузки за счет ввода 20-го корпуса и пуска печи в ЭТЦК после расконсервации;</w:t>
      </w:r>
    </w:p>
    <w:p w:rsidR="00DA04A4" w:rsidRDefault="00DA04A4">
      <w:pPr>
        <w:pStyle w:val="-2"/>
        <w:numPr>
          <w:ilvl w:val="0"/>
          <w:numId w:val="34"/>
        </w:numPr>
        <w:rPr>
          <w:snapToGrid w:val="0"/>
          <w:lang w:val="ru-RU"/>
        </w:rPr>
      </w:pPr>
      <w:r>
        <w:rPr>
          <w:snapToGrid w:val="0"/>
        </w:rPr>
        <w:t>благоприятной конъюнктуры мирового рынка (на протяжении всего прошлого года биржевые цены устойчиво держа</w:t>
      </w:r>
      <w:r>
        <w:rPr>
          <w:snapToGrid w:val="0"/>
        </w:rPr>
        <w:softHyphen/>
        <w:t xml:space="preserve">лись выше 1500 долларов за тонну, а в начале августа цены на Лондонской бирже металлов доходили до отметки 1750 долларов за тонну; </w:t>
      </w:r>
    </w:p>
    <w:p w:rsidR="00DA04A4" w:rsidRDefault="00DA04A4">
      <w:pPr>
        <w:pStyle w:val="-2"/>
        <w:numPr>
          <w:ilvl w:val="0"/>
          <w:numId w:val="34"/>
        </w:numPr>
        <w:rPr>
          <w:snapToGrid w:val="0"/>
          <w:lang w:val="ru-RU"/>
        </w:rPr>
      </w:pPr>
      <w:r>
        <w:rPr>
          <w:snapToGrid w:val="0"/>
        </w:rPr>
        <w:t>повышения сортности отгружаемого металла (доля алюминия высших марок А7 и А8 выросла с 52 до 78% в сравне</w:t>
      </w:r>
      <w:r>
        <w:rPr>
          <w:snapToGrid w:val="0"/>
        </w:rPr>
        <w:softHyphen/>
        <w:t>нии с 1996 голом).</w:t>
      </w:r>
    </w:p>
    <w:p w:rsidR="00DA04A4" w:rsidRDefault="00DA04A4">
      <w:pPr>
        <w:pStyle w:val="-2"/>
        <w:rPr>
          <w:snapToGrid w:val="0"/>
        </w:rPr>
      </w:pPr>
      <w:r>
        <w:rPr>
          <w:snapToGrid w:val="0"/>
        </w:rPr>
        <w:t xml:space="preserve"> Рентабельность производства алюми</w:t>
      </w:r>
      <w:r>
        <w:rPr>
          <w:snapToGrid w:val="0"/>
        </w:rPr>
        <w:softHyphen/>
        <w:t>ния составила в 1997 году 18,2% (12,6% в 1996 году).</w:t>
      </w:r>
      <w:r>
        <w:rPr>
          <w:rStyle w:val="a4"/>
          <w:snapToGrid w:val="0"/>
        </w:rPr>
        <w:footnoteReference w:id="20"/>
      </w:r>
    </w:p>
    <w:p w:rsidR="00DA04A4" w:rsidRDefault="00DA04A4">
      <w:pPr>
        <w:pStyle w:val="-2"/>
        <w:rPr>
          <w:snapToGrid w:val="0"/>
        </w:rPr>
      </w:pPr>
      <w:r>
        <w:rPr>
          <w:snapToGrid w:val="0"/>
        </w:rPr>
        <w:t xml:space="preserve">В </w:t>
      </w:r>
      <w:r>
        <w:rPr>
          <w:snapToGrid w:val="0"/>
          <w:lang w:val="ru-RU"/>
        </w:rPr>
        <w:t>1998</w:t>
      </w:r>
      <w:r>
        <w:rPr>
          <w:snapToGrid w:val="0"/>
        </w:rPr>
        <w:t xml:space="preserve"> году планируется увели</w:t>
      </w:r>
      <w:r>
        <w:rPr>
          <w:snapToGrid w:val="0"/>
        </w:rPr>
        <w:softHyphen/>
        <w:t>чить объемы производства еще на 3%. Правда, с конца прошлого года ценовая конъюнктура складывается уже не столь благоприятно, но у предприятия есть за</w:t>
      </w:r>
      <w:r>
        <w:rPr>
          <w:snapToGrid w:val="0"/>
        </w:rPr>
        <w:softHyphen/>
        <w:t>пас прочности: себестоимость производ</w:t>
      </w:r>
      <w:r>
        <w:rPr>
          <w:snapToGrid w:val="0"/>
        </w:rPr>
        <w:softHyphen/>
        <w:t>ства алюминия на БрАЗе колеблется в пределах 1100-1200 долларов за тонну.</w:t>
      </w:r>
    </w:p>
    <w:p w:rsidR="00DA04A4" w:rsidRDefault="00DA04A4">
      <w:pPr>
        <w:pStyle w:val="-2"/>
        <w:rPr>
          <w:snapToGrid w:val="0"/>
        </w:rPr>
      </w:pPr>
      <w:r>
        <w:rPr>
          <w:snapToGrid w:val="0"/>
        </w:rPr>
        <w:t>Завод работает по толлинговой схеме (в 1997 году — более 90% производства). Толлинговые контракты заключаются сро</w:t>
      </w:r>
      <w:r>
        <w:rPr>
          <w:snapToGrid w:val="0"/>
        </w:rPr>
        <w:softHyphen/>
        <w:t>ком на один год на основании квот, выде</w:t>
      </w:r>
      <w:r>
        <w:rPr>
          <w:snapToGrid w:val="0"/>
        </w:rPr>
        <w:softHyphen/>
        <w:t>ляемых Минэкономики. В 1997 году БрАЗ применил новую схему</w:t>
      </w:r>
      <w:r>
        <w:rPr>
          <w:snapToGrid w:val="0"/>
          <w:lang w:val="ru-RU"/>
        </w:rPr>
        <w:t xml:space="preserve"> </w:t>
      </w:r>
      <w:r>
        <w:rPr>
          <w:snapToGrid w:val="0"/>
        </w:rPr>
        <w:t>— комплексный толлинг, предполагающий поставку пар</w:t>
      </w:r>
      <w:r>
        <w:rPr>
          <w:snapToGrid w:val="0"/>
        </w:rPr>
        <w:softHyphen/>
        <w:t>тнерами не только глинозема, но и других видов сырья, например кокса. В феврале</w:t>
      </w:r>
    </w:p>
    <w:p w:rsidR="00DA04A4" w:rsidRDefault="00DA04A4">
      <w:pPr>
        <w:pStyle w:val="-2"/>
        <w:rPr>
          <w:snapToGrid w:val="0"/>
        </w:rPr>
      </w:pPr>
      <w:r>
        <w:rPr>
          <w:snapToGrid w:val="0"/>
        </w:rPr>
        <w:t>1998 года БрАЗ обеспечил себе значи</w:t>
      </w:r>
      <w:r>
        <w:rPr>
          <w:snapToGrid w:val="0"/>
        </w:rPr>
        <w:softHyphen/>
        <w:t>тельное конкурентное преимущество по отношению к другим российским алюми</w:t>
      </w:r>
      <w:r>
        <w:rPr>
          <w:snapToGrid w:val="0"/>
        </w:rPr>
        <w:softHyphen/>
        <w:t>ниевым заводам, заключив долгосрочное пятилетнее соглашение с АО «Иркутск-энерго». Теперь для завода установлен твердый тариф на электроэнергию в дол</w:t>
      </w:r>
      <w:r>
        <w:rPr>
          <w:snapToGrid w:val="0"/>
        </w:rPr>
        <w:softHyphen/>
        <w:t>ларовом эквиваленте.</w:t>
      </w:r>
    </w:p>
    <w:p w:rsidR="00DA04A4" w:rsidRDefault="00DA04A4">
      <w:pPr>
        <w:pStyle w:val="-2"/>
        <w:rPr>
          <w:lang w:val="ru-RU"/>
        </w:rPr>
      </w:pPr>
    </w:p>
    <w:p w:rsidR="00DA04A4" w:rsidRDefault="00DA04A4">
      <w:pPr>
        <w:pStyle w:val="-2"/>
        <w:rPr>
          <w:snapToGrid w:val="0"/>
        </w:rPr>
      </w:pPr>
    </w:p>
    <w:p w:rsidR="00DA04A4" w:rsidRDefault="00DA04A4">
      <w:pPr>
        <w:pStyle w:val="-2"/>
        <w:rPr>
          <w:snapToGrid w:val="0"/>
          <w:lang w:val="ru-RU"/>
        </w:rPr>
      </w:pPr>
    </w:p>
    <w:p w:rsidR="00DA04A4" w:rsidRDefault="00DA04A4">
      <w:pPr>
        <w:pStyle w:val="-2"/>
        <w:rPr>
          <w:snapToGrid w:val="0"/>
          <w:lang w:val="ru-RU"/>
        </w:rPr>
      </w:pPr>
    </w:p>
    <w:p w:rsidR="00DA04A4" w:rsidRDefault="00DA04A4">
      <w:pPr>
        <w:pStyle w:val="-2"/>
        <w:rPr>
          <w:snapToGrid w:val="0"/>
          <w:lang w:val="ru-RU"/>
        </w:rPr>
      </w:pPr>
    </w:p>
    <w:p w:rsidR="00DA04A4" w:rsidRDefault="00DA04A4">
      <w:pPr>
        <w:pStyle w:val="-2"/>
        <w:rPr>
          <w:snapToGrid w:val="0"/>
          <w:lang w:val="ru-RU"/>
        </w:rPr>
      </w:pPr>
    </w:p>
    <w:p w:rsidR="00DA04A4" w:rsidRDefault="00DA04A4">
      <w:pPr>
        <w:pStyle w:val="-2"/>
        <w:rPr>
          <w:snapToGrid w:val="0"/>
          <w:lang w:val="ru-RU"/>
        </w:rPr>
      </w:pPr>
    </w:p>
    <w:p w:rsidR="00DA04A4" w:rsidRDefault="00DA04A4">
      <w:pPr>
        <w:pStyle w:val="-2"/>
        <w:rPr>
          <w:snapToGrid w:val="0"/>
          <w:lang w:val="ru-RU"/>
        </w:rPr>
      </w:pPr>
    </w:p>
    <w:p w:rsidR="00DA04A4" w:rsidRDefault="00DA04A4">
      <w:pPr>
        <w:pStyle w:val="-2"/>
        <w:rPr>
          <w:snapToGrid w:val="0"/>
          <w:lang w:val="ru-RU"/>
        </w:rPr>
      </w:pPr>
    </w:p>
    <w:p w:rsidR="00DA04A4" w:rsidRDefault="00DA04A4">
      <w:pPr>
        <w:pStyle w:val="-2"/>
        <w:rPr>
          <w:snapToGrid w:val="0"/>
          <w:lang w:val="ru-RU"/>
        </w:rPr>
      </w:pPr>
    </w:p>
    <w:p w:rsidR="00DA04A4" w:rsidRDefault="00DA04A4">
      <w:pPr>
        <w:pStyle w:val="-2"/>
        <w:rPr>
          <w:snapToGrid w:val="0"/>
          <w:lang w:val="ru-RU"/>
        </w:rPr>
      </w:pPr>
    </w:p>
    <w:p w:rsidR="00DA04A4" w:rsidRDefault="00DA04A4">
      <w:pPr>
        <w:pStyle w:val="-2"/>
        <w:rPr>
          <w:snapToGrid w:val="0"/>
          <w:lang w:val="ru-RU"/>
        </w:rPr>
      </w:pPr>
    </w:p>
    <w:p w:rsidR="00DA04A4" w:rsidRDefault="00DA04A4">
      <w:pPr>
        <w:pStyle w:val="-00"/>
        <w:rPr>
          <w:snapToGrid w:val="0"/>
        </w:rPr>
      </w:pPr>
      <w:bookmarkStart w:id="14" w:name="_Toc437260976"/>
      <w:r>
        <w:rPr>
          <w:snapToGrid w:val="0"/>
        </w:rPr>
        <w:t>Заключение.</w:t>
      </w:r>
      <w:bookmarkEnd w:id="14"/>
    </w:p>
    <w:p w:rsidR="00DA04A4" w:rsidRDefault="00DA04A4">
      <w:pPr>
        <w:pStyle w:val="-2"/>
        <w:rPr>
          <w:snapToGrid w:val="0"/>
          <w:lang w:val="ru-RU"/>
        </w:rPr>
      </w:pPr>
      <w:r>
        <w:rPr>
          <w:snapToGrid w:val="0"/>
        </w:rPr>
        <w:t>Переход к рыночной экономике существенным обра</w:t>
      </w:r>
      <w:r>
        <w:rPr>
          <w:snapToGrid w:val="0"/>
        </w:rPr>
        <w:softHyphen/>
        <w:t>зом отражается на характере размещения производства. Такой переход, с одной стороны, требует всемерного учета накопленного в советской экономике опыта раз</w:t>
      </w:r>
      <w:r>
        <w:rPr>
          <w:snapToGrid w:val="0"/>
        </w:rPr>
        <w:softHyphen/>
        <w:t>мещения производства, притом как положительного, так и отрицательного. С другой стороны, переориен</w:t>
      </w:r>
      <w:r>
        <w:rPr>
          <w:snapToGrid w:val="0"/>
        </w:rPr>
        <w:softHyphen/>
        <w:t>тация хозяйства в рыночном направлении, включение в мировое экономическое пространство в значительной степени способствуют изменению приоритетов в раз</w:t>
      </w:r>
      <w:r>
        <w:rPr>
          <w:snapToGrid w:val="0"/>
        </w:rPr>
        <w:softHyphen/>
        <w:t>мещении производства. В этой связи важно учитывать, что для рыночной экономики характерен преимуще</w:t>
      </w:r>
      <w:r>
        <w:rPr>
          <w:snapToGrid w:val="0"/>
        </w:rPr>
        <w:softHyphen/>
        <w:t>ственно децентрализованный характер размещения про</w:t>
      </w:r>
      <w:r>
        <w:rPr>
          <w:snapToGrid w:val="0"/>
        </w:rPr>
        <w:softHyphen/>
        <w:t>изводства, основанного на частной собственности на средства производства</w:t>
      </w:r>
      <w:r>
        <w:rPr>
          <w:snapToGrid w:val="0"/>
          <w:lang w:val="ru-RU"/>
        </w:rPr>
        <w:t>.</w:t>
      </w:r>
    </w:p>
    <w:p w:rsidR="00DA04A4" w:rsidRDefault="00DA04A4">
      <w:pPr>
        <w:pStyle w:val="-2"/>
        <w:rPr>
          <w:snapToGrid w:val="0"/>
        </w:rPr>
      </w:pPr>
      <w:r>
        <w:rPr>
          <w:snapToGrid w:val="0"/>
          <w:lang w:val="ru-RU"/>
        </w:rPr>
        <w:t>Россия</w:t>
      </w:r>
      <w:r>
        <w:rPr>
          <w:snapToGrid w:val="0"/>
        </w:rPr>
        <w:t xml:space="preserve"> — страна, обладающая мощной цветной металлургией. Главная отличительная черта отрасли в нашей стра</w:t>
      </w:r>
      <w:r>
        <w:rPr>
          <w:snapToGrid w:val="0"/>
        </w:rPr>
        <w:softHyphen/>
        <w:t>не — развитие ее на основе использования собственных больших и разнообразных ресурсов. Р</w:t>
      </w:r>
      <w:r>
        <w:rPr>
          <w:snapToGrid w:val="0"/>
          <w:lang w:val="ru-RU"/>
        </w:rPr>
        <w:t>оссия</w:t>
      </w:r>
      <w:r>
        <w:rPr>
          <w:snapToGrid w:val="0"/>
        </w:rPr>
        <w:t xml:space="preserve"> занимает видное место в мире по за</w:t>
      </w:r>
      <w:r>
        <w:rPr>
          <w:snapToGrid w:val="0"/>
        </w:rPr>
        <w:softHyphen/>
        <w:t>пасам важнейших видов цветных металлов. Созданы все отрасли цветной металлургии. Ежегодно на экспорт идет около миллиона тонн цветных металлов.</w:t>
      </w:r>
    </w:p>
    <w:p w:rsidR="00DA04A4" w:rsidRDefault="00DA04A4">
      <w:pPr>
        <w:pStyle w:val="-2"/>
        <w:rPr>
          <w:snapToGrid w:val="0"/>
          <w:lang w:val="ru-RU"/>
        </w:rPr>
      </w:pPr>
      <w:r>
        <w:rPr>
          <w:snapToGrid w:val="0"/>
          <w:lang w:val="ru-RU"/>
        </w:rPr>
        <w:t>Данная отрасль в настоящее время имеет все предпосылки для успешного развития, однако данная тенденция воплотиться только при внедрении комплекса мероприятий экономического и территориального характера. В данной связи вопрос о экономико-географических особенностях размещения предприятий цветной металлургии приобретает особенно острое значение.</w:t>
      </w:r>
    </w:p>
    <w:p w:rsidR="00DA04A4" w:rsidRDefault="00DA04A4">
      <w:pPr>
        <w:pStyle w:val="-00"/>
        <w:rPr>
          <w:snapToGrid w:val="0"/>
        </w:rPr>
      </w:pPr>
      <w:bookmarkStart w:id="15" w:name="_Toc437260977"/>
      <w:r>
        <w:rPr>
          <w:snapToGrid w:val="0"/>
        </w:rPr>
        <w:t>Список использованной литературы.</w:t>
      </w:r>
      <w:bookmarkEnd w:id="15"/>
    </w:p>
    <w:p w:rsidR="00DA04A4" w:rsidRDefault="00DA04A4">
      <w:pPr>
        <w:pStyle w:val="-2"/>
        <w:numPr>
          <w:ilvl w:val="0"/>
          <w:numId w:val="37"/>
        </w:numPr>
        <w:spacing w:line="480" w:lineRule="auto"/>
        <w:rPr>
          <w:snapToGrid w:val="0"/>
          <w:lang w:val="ru-RU"/>
        </w:rPr>
      </w:pPr>
      <w:r>
        <w:rPr>
          <w:snapToGrid w:val="0"/>
          <w:lang w:val="ru-RU"/>
        </w:rPr>
        <w:t>Гребцова В.Е. Экономическая и социальная география России. Ростов-на-Дону: Феникс,1997.</w:t>
      </w:r>
    </w:p>
    <w:p w:rsidR="00DA04A4" w:rsidRDefault="00DA04A4">
      <w:pPr>
        <w:pStyle w:val="-2"/>
        <w:numPr>
          <w:ilvl w:val="0"/>
          <w:numId w:val="37"/>
        </w:numPr>
        <w:spacing w:line="480" w:lineRule="auto"/>
        <w:rPr>
          <w:snapToGrid w:val="0"/>
          <w:lang w:val="ru-RU"/>
        </w:rPr>
      </w:pPr>
      <w:r>
        <w:rPr>
          <w:snapToGrid w:val="0"/>
          <w:lang w:val="ru-RU"/>
        </w:rPr>
        <w:t>Житников В.Г. Размещение производительных сил и экономика регионов. Ростов-нв-Дону, 1996.</w:t>
      </w:r>
    </w:p>
    <w:p w:rsidR="00DA04A4" w:rsidRDefault="00DA04A4">
      <w:pPr>
        <w:pStyle w:val="-2"/>
        <w:numPr>
          <w:ilvl w:val="0"/>
          <w:numId w:val="37"/>
        </w:numPr>
        <w:spacing w:line="480" w:lineRule="auto"/>
        <w:rPr>
          <w:snapToGrid w:val="0"/>
          <w:lang w:val="ru-RU"/>
        </w:rPr>
      </w:pPr>
      <w:r>
        <w:rPr>
          <w:snapToGrid w:val="0"/>
        </w:rPr>
        <w:t>Конкурентоспособность российской промышленности</w:t>
      </w:r>
      <w:r>
        <w:rPr>
          <w:snapToGrid w:val="0"/>
          <w:lang w:val="ru-RU"/>
        </w:rPr>
        <w:t>//</w:t>
      </w:r>
      <w:r>
        <w:rPr>
          <w:snapToGrid w:val="0"/>
        </w:rPr>
        <w:t xml:space="preserve"> </w:t>
      </w:r>
      <w:r>
        <w:t xml:space="preserve">ЭКО, </w:t>
      </w:r>
      <w:r>
        <w:rPr>
          <w:lang w:val="ru-RU"/>
        </w:rPr>
        <w:t>№</w:t>
      </w:r>
      <w:r>
        <w:t>5</w:t>
      </w:r>
      <w:r>
        <w:rPr>
          <w:lang w:val="ru-RU"/>
        </w:rPr>
        <w:t>,19</w:t>
      </w:r>
      <w:r>
        <w:t>97.</w:t>
      </w:r>
    </w:p>
    <w:p w:rsidR="00DA04A4" w:rsidRDefault="00DA04A4">
      <w:pPr>
        <w:pStyle w:val="-2"/>
        <w:numPr>
          <w:ilvl w:val="0"/>
          <w:numId w:val="37"/>
        </w:numPr>
        <w:spacing w:line="480" w:lineRule="auto"/>
        <w:rPr>
          <w:snapToGrid w:val="0"/>
          <w:lang w:val="ru-RU"/>
        </w:rPr>
      </w:pPr>
      <w:r>
        <w:rPr>
          <w:snapToGrid w:val="0"/>
        </w:rPr>
        <w:t>Клоцвог Ф.</w:t>
      </w:r>
      <w:r>
        <w:rPr>
          <w:snapToGrid w:val="0"/>
          <w:lang w:val="ru-RU"/>
        </w:rPr>
        <w:t>,</w:t>
      </w:r>
      <w:r>
        <w:rPr>
          <w:snapToGrid w:val="0"/>
        </w:rPr>
        <w:t xml:space="preserve"> Абдыкулова Г.</w:t>
      </w:r>
      <w:r>
        <w:rPr>
          <w:snapToGrid w:val="0"/>
          <w:lang w:val="ru-RU"/>
        </w:rPr>
        <w:t>,</w:t>
      </w:r>
      <w:r>
        <w:rPr>
          <w:snapToGrid w:val="0"/>
        </w:rPr>
        <w:t xml:space="preserve"> Кушникова И.</w:t>
      </w:r>
      <w:r>
        <w:rPr>
          <w:snapToGrid w:val="0"/>
          <w:lang w:val="ru-RU"/>
        </w:rPr>
        <w:t>,</w:t>
      </w:r>
      <w:r>
        <w:rPr>
          <w:snapToGrid w:val="0"/>
        </w:rPr>
        <w:t xml:space="preserve"> Каширская С.</w:t>
      </w:r>
      <w:r>
        <w:rPr>
          <w:snapToGrid w:val="0"/>
          <w:lang w:val="ru-RU"/>
        </w:rPr>
        <w:t xml:space="preserve"> Вариантный прогноз эволюции экономики российских регионов//</w:t>
      </w:r>
      <w:r>
        <w:rPr>
          <w:snapToGrid w:val="0"/>
        </w:rPr>
        <w:t xml:space="preserve"> </w:t>
      </w:r>
      <w:r>
        <w:t xml:space="preserve">Российский экономический журнал, </w:t>
      </w:r>
      <w:r>
        <w:rPr>
          <w:lang w:val="ru-RU"/>
        </w:rPr>
        <w:t>№</w:t>
      </w:r>
      <w:r>
        <w:t xml:space="preserve">8, </w:t>
      </w:r>
      <w:r>
        <w:rPr>
          <w:lang w:val="ru-RU"/>
        </w:rPr>
        <w:t>19</w:t>
      </w:r>
      <w:r>
        <w:t>97</w:t>
      </w:r>
      <w:r>
        <w:rPr>
          <w:lang w:val="ru-RU"/>
        </w:rPr>
        <w:t>г</w:t>
      </w:r>
      <w:r>
        <w:t>.</w:t>
      </w:r>
    </w:p>
    <w:p w:rsidR="00DA04A4" w:rsidRDefault="00DA04A4">
      <w:pPr>
        <w:pStyle w:val="-2"/>
        <w:numPr>
          <w:ilvl w:val="0"/>
          <w:numId w:val="37"/>
        </w:numPr>
        <w:spacing w:line="480" w:lineRule="auto"/>
        <w:rPr>
          <w:snapToGrid w:val="0"/>
          <w:lang w:val="ru-RU"/>
        </w:rPr>
      </w:pPr>
      <w:r>
        <w:rPr>
          <w:snapToGrid w:val="0"/>
        </w:rPr>
        <w:t xml:space="preserve">Куранов Г., Волков В. Российская экономика (январь-май1998г)//экономист, </w:t>
      </w:r>
      <w:r>
        <w:rPr>
          <w:snapToGrid w:val="0"/>
          <w:lang w:val="ru-RU"/>
        </w:rPr>
        <w:t>№</w:t>
      </w:r>
      <w:r>
        <w:rPr>
          <w:snapToGrid w:val="0"/>
        </w:rPr>
        <w:t>8,98,,стр.8,9</w:t>
      </w:r>
    </w:p>
    <w:p w:rsidR="00DA04A4" w:rsidRDefault="00DA04A4">
      <w:pPr>
        <w:pStyle w:val="-2"/>
        <w:numPr>
          <w:ilvl w:val="0"/>
          <w:numId w:val="37"/>
        </w:numPr>
        <w:spacing w:line="480" w:lineRule="auto"/>
        <w:rPr>
          <w:snapToGrid w:val="0"/>
          <w:lang w:val="ru-RU"/>
        </w:rPr>
      </w:pPr>
      <w:r>
        <w:rPr>
          <w:snapToGrid w:val="0"/>
        </w:rPr>
        <w:t>К</w:t>
      </w:r>
      <w:r>
        <w:rPr>
          <w:snapToGrid w:val="0"/>
          <w:lang w:val="ru-RU"/>
        </w:rPr>
        <w:t>урьеров</w:t>
      </w:r>
      <w:r>
        <w:rPr>
          <w:snapToGrid w:val="0"/>
        </w:rPr>
        <w:t xml:space="preserve"> В. Г. Общие тенденции //ЭКО, </w:t>
      </w:r>
      <w:r>
        <w:rPr>
          <w:snapToGrid w:val="0"/>
          <w:lang w:val="ru-RU"/>
        </w:rPr>
        <w:t>№</w:t>
      </w:r>
      <w:r>
        <w:rPr>
          <w:snapToGrid w:val="0"/>
        </w:rPr>
        <w:t>10,1997,3-11.</w:t>
      </w:r>
    </w:p>
    <w:p w:rsidR="00DA04A4" w:rsidRDefault="00DA04A4">
      <w:pPr>
        <w:pStyle w:val="-2"/>
        <w:numPr>
          <w:ilvl w:val="0"/>
          <w:numId w:val="37"/>
        </w:numPr>
        <w:spacing w:line="480" w:lineRule="auto"/>
        <w:rPr>
          <w:snapToGrid w:val="0"/>
          <w:lang w:val="ru-RU"/>
        </w:rPr>
      </w:pPr>
      <w:r>
        <w:rPr>
          <w:snapToGrid w:val="0"/>
        </w:rPr>
        <w:t xml:space="preserve">Макроэкономические и финансовые предпосылки решения </w:t>
      </w:r>
      <w:r>
        <w:rPr>
          <w:snapToGrid w:val="0"/>
          <w:lang w:val="ru-RU"/>
        </w:rPr>
        <w:t xml:space="preserve">экономических и </w:t>
      </w:r>
      <w:r>
        <w:rPr>
          <w:snapToGrid w:val="0"/>
        </w:rPr>
        <w:t>социальных проблем</w:t>
      </w:r>
      <w:r>
        <w:rPr>
          <w:snapToGrid w:val="0"/>
          <w:lang w:val="ru-RU"/>
        </w:rPr>
        <w:t xml:space="preserve"> //</w:t>
      </w:r>
      <w:r>
        <w:rPr>
          <w:snapToGrid w:val="0"/>
        </w:rPr>
        <w:t xml:space="preserve"> Вопросы экономики, </w:t>
      </w:r>
      <w:r>
        <w:rPr>
          <w:snapToGrid w:val="0"/>
          <w:lang w:val="ru-RU"/>
        </w:rPr>
        <w:t>№</w:t>
      </w:r>
      <w:r>
        <w:rPr>
          <w:snapToGrid w:val="0"/>
        </w:rPr>
        <w:t>6,98.</w:t>
      </w:r>
    </w:p>
    <w:p w:rsidR="00DA04A4" w:rsidRDefault="00DA04A4">
      <w:pPr>
        <w:pStyle w:val="-2"/>
        <w:numPr>
          <w:ilvl w:val="0"/>
          <w:numId w:val="37"/>
        </w:numPr>
        <w:spacing w:line="480" w:lineRule="auto"/>
        <w:rPr>
          <w:snapToGrid w:val="0"/>
          <w:lang w:val="ru-RU"/>
        </w:rPr>
      </w:pPr>
      <w:r>
        <w:rPr>
          <w:snapToGrid w:val="0"/>
          <w:lang w:val="ru-RU"/>
        </w:rPr>
        <w:t>Промышленность в 1 квартале 1997г.</w:t>
      </w:r>
      <w:r>
        <w:rPr>
          <w:snapToGrid w:val="0"/>
        </w:rPr>
        <w:t xml:space="preserve"> (по материалам Госкомстата РФ)</w:t>
      </w:r>
      <w:r>
        <w:rPr>
          <w:snapToGrid w:val="0"/>
          <w:lang w:val="ru-RU"/>
        </w:rPr>
        <w:t>//</w:t>
      </w:r>
      <w:r>
        <w:rPr>
          <w:lang w:val="ru-RU"/>
        </w:rPr>
        <w:t xml:space="preserve"> Экономист, №6,1998.</w:t>
      </w:r>
    </w:p>
    <w:p w:rsidR="00DA04A4" w:rsidRDefault="00DA04A4">
      <w:pPr>
        <w:pStyle w:val="-2"/>
        <w:numPr>
          <w:ilvl w:val="0"/>
          <w:numId w:val="37"/>
        </w:numPr>
        <w:spacing w:line="480" w:lineRule="auto"/>
        <w:rPr>
          <w:snapToGrid w:val="0"/>
          <w:lang w:val="ru-RU"/>
        </w:rPr>
      </w:pPr>
      <w:r>
        <w:rPr>
          <w:snapToGrid w:val="0"/>
        </w:rPr>
        <w:t>Э</w:t>
      </w:r>
      <w:r>
        <w:rPr>
          <w:snapToGrid w:val="0"/>
          <w:lang w:val="ru-RU"/>
        </w:rPr>
        <w:t xml:space="preserve">кономика </w:t>
      </w:r>
      <w:r>
        <w:rPr>
          <w:snapToGrid w:val="0"/>
        </w:rPr>
        <w:t>Р</w:t>
      </w:r>
      <w:r>
        <w:rPr>
          <w:snapToGrid w:val="0"/>
          <w:lang w:val="ru-RU"/>
        </w:rPr>
        <w:t>оссии</w:t>
      </w:r>
      <w:r>
        <w:rPr>
          <w:snapToGrid w:val="0"/>
        </w:rPr>
        <w:t xml:space="preserve"> </w:t>
      </w:r>
      <w:r>
        <w:rPr>
          <w:snapToGrid w:val="0"/>
          <w:lang w:val="ru-RU"/>
        </w:rPr>
        <w:t>в</w:t>
      </w:r>
      <w:r>
        <w:rPr>
          <w:snapToGrid w:val="0"/>
        </w:rPr>
        <w:t xml:space="preserve"> 1996 г.</w:t>
      </w:r>
      <w:r>
        <w:rPr>
          <w:snapToGrid w:val="0"/>
          <w:lang w:val="ru-RU"/>
        </w:rPr>
        <w:t>//</w:t>
      </w:r>
      <w:r>
        <w:rPr>
          <w:snapToGrid w:val="0"/>
        </w:rPr>
        <w:t xml:space="preserve"> ЭКО, </w:t>
      </w:r>
      <w:r>
        <w:rPr>
          <w:snapToGrid w:val="0"/>
          <w:lang w:val="ru-RU"/>
        </w:rPr>
        <w:t>№</w:t>
      </w:r>
      <w:r>
        <w:rPr>
          <w:snapToGrid w:val="0"/>
        </w:rPr>
        <w:t>5,97.</w:t>
      </w:r>
    </w:p>
    <w:p w:rsidR="00DA04A4" w:rsidRDefault="00DA04A4">
      <w:pPr>
        <w:pStyle w:val="-2"/>
        <w:numPr>
          <w:ilvl w:val="0"/>
          <w:numId w:val="37"/>
        </w:numPr>
        <w:spacing w:line="480" w:lineRule="auto"/>
        <w:rPr>
          <w:snapToGrid w:val="0"/>
          <w:lang w:val="ru-RU"/>
        </w:rPr>
      </w:pPr>
      <w:r>
        <w:rPr>
          <w:snapToGrid w:val="0"/>
          <w:lang w:val="ru-RU"/>
        </w:rPr>
        <w:t xml:space="preserve">Экономическая география. М.: Агропромиздат, 1990. </w:t>
      </w:r>
    </w:p>
    <w:p w:rsidR="00DA04A4" w:rsidRDefault="00DA04A4">
      <w:pPr>
        <w:pStyle w:val="-2"/>
        <w:numPr>
          <w:ilvl w:val="0"/>
          <w:numId w:val="37"/>
        </w:numPr>
        <w:spacing w:line="480" w:lineRule="auto"/>
        <w:rPr>
          <w:snapToGrid w:val="0"/>
          <w:lang w:val="ru-RU"/>
        </w:rPr>
      </w:pPr>
      <w:r>
        <w:rPr>
          <w:snapToGrid w:val="0"/>
        </w:rPr>
        <w:t>Я</w:t>
      </w:r>
      <w:r>
        <w:rPr>
          <w:snapToGrid w:val="0"/>
          <w:lang w:val="ru-RU"/>
        </w:rPr>
        <w:t>гольницер</w:t>
      </w:r>
      <w:r>
        <w:rPr>
          <w:snapToGrid w:val="0"/>
        </w:rPr>
        <w:t xml:space="preserve"> М. А. Управление рисками при закупках сырья в алюминиевой промышленности</w:t>
      </w:r>
      <w:r>
        <w:rPr>
          <w:snapToGrid w:val="0"/>
          <w:lang w:val="ru-RU"/>
        </w:rPr>
        <w:t>//</w:t>
      </w:r>
      <w:r>
        <w:rPr>
          <w:snapToGrid w:val="0"/>
        </w:rPr>
        <w:t xml:space="preserve"> ЭКО, </w:t>
      </w:r>
      <w:r>
        <w:rPr>
          <w:snapToGrid w:val="0"/>
          <w:lang w:val="ru-RU"/>
        </w:rPr>
        <w:t>№</w:t>
      </w:r>
      <w:r>
        <w:rPr>
          <w:snapToGrid w:val="0"/>
        </w:rPr>
        <w:t>10,</w:t>
      </w:r>
      <w:r>
        <w:rPr>
          <w:snapToGrid w:val="0"/>
          <w:lang w:val="ru-RU"/>
        </w:rPr>
        <w:t>19</w:t>
      </w:r>
      <w:r>
        <w:rPr>
          <w:snapToGrid w:val="0"/>
        </w:rPr>
        <w:t>97.</w:t>
      </w:r>
    </w:p>
    <w:p w:rsidR="00DA04A4" w:rsidRDefault="00DA04A4">
      <w:pPr>
        <w:pStyle w:val="-2"/>
        <w:tabs>
          <w:tab w:val="num" w:pos="1080"/>
        </w:tabs>
        <w:spacing w:line="240" w:lineRule="auto"/>
        <w:ind w:left="1080"/>
        <w:rPr>
          <w:rFonts w:ascii="Times New Roman" w:hAnsi="Times New Roman"/>
          <w:snapToGrid w:val="0"/>
          <w:sz w:val="20"/>
          <w:lang w:val="ru-RU"/>
        </w:rPr>
      </w:pPr>
    </w:p>
    <w:p w:rsidR="00DA04A4" w:rsidRDefault="00DA04A4">
      <w:pPr>
        <w:pStyle w:val="-2"/>
        <w:spacing w:line="240" w:lineRule="auto"/>
        <w:ind w:firstLine="0"/>
        <w:rPr>
          <w:rFonts w:ascii="Times New Roman" w:hAnsi="Times New Roman"/>
          <w:b/>
          <w:snapToGrid w:val="0"/>
          <w:sz w:val="20"/>
          <w:lang w:val="ru-RU"/>
        </w:rPr>
      </w:pPr>
    </w:p>
    <w:sectPr w:rsidR="00DA04A4">
      <w:headerReference w:type="even" r:id="rId8"/>
      <w:headerReference w:type="default" r:id="rId9"/>
      <w:pgSz w:w="11907" w:h="16840" w:code="9"/>
      <w:pgMar w:top="964" w:right="567" w:bottom="1134" w:left="1701" w:header="720" w:footer="720" w:gutter="0"/>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04A4" w:rsidRDefault="00DA04A4">
      <w:r>
        <w:separator/>
      </w:r>
    </w:p>
  </w:endnote>
  <w:endnote w:type="continuationSeparator" w:id="0">
    <w:p w:rsidR="00DA04A4" w:rsidRDefault="00DA04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Bookman Old Style">
    <w:panose1 w:val="02050604050505020204"/>
    <w:charset w:val="CC"/>
    <w:family w:val="roman"/>
    <w:pitch w:val="variable"/>
    <w:sig w:usb0="00000287" w:usb1="00000000" w:usb2="00000000" w:usb3="00000000" w:csb0="0000009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04A4" w:rsidRDefault="00DA04A4">
      <w:r>
        <w:separator/>
      </w:r>
    </w:p>
  </w:footnote>
  <w:footnote w:type="continuationSeparator" w:id="0">
    <w:p w:rsidR="00DA04A4" w:rsidRDefault="00DA04A4">
      <w:r>
        <w:continuationSeparator/>
      </w:r>
    </w:p>
  </w:footnote>
  <w:footnote w:id="1">
    <w:p w:rsidR="00DA04A4" w:rsidRDefault="00DA04A4">
      <w:pPr>
        <w:pStyle w:val="a3"/>
      </w:pPr>
      <w:r>
        <w:rPr>
          <w:rStyle w:val="a4"/>
        </w:rPr>
        <w:footnoteRef/>
      </w:r>
      <w:r>
        <w:t xml:space="preserve"> </w:t>
      </w:r>
      <w:r>
        <w:rPr>
          <w:snapToGrid w:val="0"/>
        </w:rPr>
        <w:t>Гребцова В.Е. Экономическая и социальная география России. Ростов-на-Дону: Феникс,1997.</w:t>
      </w:r>
    </w:p>
  </w:footnote>
  <w:footnote w:id="2">
    <w:p w:rsidR="00DA04A4" w:rsidRDefault="00DA04A4">
      <w:pPr>
        <w:pStyle w:val="a3"/>
        <w:rPr>
          <w:snapToGrid w:val="0"/>
        </w:rPr>
      </w:pPr>
      <w:r>
        <w:rPr>
          <w:rStyle w:val="a4"/>
        </w:rPr>
        <w:footnoteRef/>
      </w:r>
      <w:r>
        <w:t xml:space="preserve"> </w:t>
      </w:r>
      <w:r>
        <w:rPr>
          <w:snapToGrid w:val="0"/>
        </w:rPr>
        <w:t>Курьеров В. Г. Общие тенденции //ЭКО, №10,1997,3-11.</w:t>
      </w:r>
    </w:p>
    <w:p w:rsidR="00DA04A4" w:rsidRDefault="00DA04A4">
      <w:pPr>
        <w:pStyle w:val="a3"/>
      </w:pPr>
    </w:p>
  </w:footnote>
  <w:footnote w:id="3">
    <w:p w:rsidR="00DA04A4" w:rsidRDefault="00DA04A4">
      <w:pPr>
        <w:pStyle w:val="a3"/>
      </w:pPr>
      <w:r>
        <w:rPr>
          <w:rStyle w:val="a4"/>
        </w:rPr>
        <w:footnoteRef/>
      </w:r>
      <w:r>
        <w:t xml:space="preserve"> </w:t>
      </w:r>
      <w:r>
        <w:rPr>
          <w:snapToGrid w:val="0"/>
        </w:rPr>
        <w:t>Курьеров В. Г. Общие тенденции //ЭКО, №10,1997,3-11.</w:t>
      </w:r>
    </w:p>
  </w:footnote>
  <w:footnote w:id="4">
    <w:p w:rsidR="00DA04A4" w:rsidRDefault="00DA04A4">
      <w:pPr>
        <w:pStyle w:val="a3"/>
      </w:pPr>
      <w:r>
        <w:rPr>
          <w:rStyle w:val="a4"/>
        </w:rPr>
        <w:footnoteRef/>
      </w:r>
      <w:r>
        <w:t xml:space="preserve"> </w:t>
      </w:r>
      <w:r>
        <w:rPr>
          <w:snapToGrid w:val="0"/>
        </w:rPr>
        <w:t xml:space="preserve">Конкурентоспособность российской промышленности// </w:t>
      </w:r>
      <w:r>
        <w:t>ЭКО, №5,1997.</w:t>
      </w:r>
    </w:p>
    <w:p w:rsidR="00DA04A4" w:rsidRDefault="00DA04A4">
      <w:pPr>
        <w:pStyle w:val="a3"/>
      </w:pPr>
    </w:p>
  </w:footnote>
  <w:footnote w:id="5">
    <w:p w:rsidR="00DA04A4" w:rsidRDefault="00DA04A4">
      <w:pPr>
        <w:pStyle w:val="a3"/>
        <w:rPr>
          <w:snapToGrid w:val="0"/>
        </w:rPr>
      </w:pPr>
      <w:r>
        <w:rPr>
          <w:rStyle w:val="a4"/>
        </w:rPr>
        <w:footnoteRef/>
      </w:r>
      <w:r>
        <w:t xml:space="preserve"> </w:t>
      </w:r>
      <w:r>
        <w:rPr>
          <w:snapToGrid w:val="0"/>
        </w:rPr>
        <w:t>Экономическая география. М.: Агропромиздат, 1990.</w:t>
      </w:r>
    </w:p>
    <w:p w:rsidR="00DA04A4" w:rsidRDefault="00DA04A4">
      <w:pPr>
        <w:pStyle w:val="a3"/>
      </w:pPr>
    </w:p>
  </w:footnote>
  <w:footnote w:id="6">
    <w:p w:rsidR="00DA04A4" w:rsidRDefault="00DA04A4">
      <w:pPr>
        <w:pStyle w:val="a3"/>
        <w:rPr>
          <w:snapToGrid w:val="0"/>
        </w:rPr>
      </w:pPr>
      <w:r>
        <w:rPr>
          <w:rStyle w:val="a4"/>
        </w:rPr>
        <w:footnoteRef/>
      </w:r>
      <w:r>
        <w:t xml:space="preserve"> </w:t>
      </w:r>
      <w:r>
        <w:rPr>
          <w:snapToGrid w:val="0"/>
        </w:rPr>
        <w:t>Экономическая география. М.: Агропромиздат, 1990.</w:t>
      </w:r>
    </w:p>
    <w:p w:rsidR="00DA04A4" w:rsidRDefault="00DA04A4">
      <w:pPr>
        <w:pStyle w:val="a3"/>
      </w:pPr>
    </w:p>
  </w:footnote>
  <w:footnote w:id="7">
    <w:p w:rsidR="00DA04A4" w:rsidRDefault="00DA04A4">
      <w:pPr>
        <w:pStyle w:val="a3"/>
        <w:rPr>
          <w:snapToGrid w:val="0"/>
        </w:rPr>
      </w:pPr>
      <w:r>
        <w:rPr>
          <w:rStyle w:val="a4"/>
        </w:rPr>
        <w:footnoteRef/>
      </w:r>
      <w:r>
        <w:t xml:space="preserve"> </w:t>
      </w:r>
      <w:r>
        <w:rPr>
          <w:snapToGrid w:val="0"/>
        </w:rPr>
        <w:t>Гребцова В.Е. Экономическая и социальная география России. Ростов-на-Дону: Феникс,1997.</w:t>
      </w:r>
    </w:p>
    <w:p w:rsidR="00DA04A4" w:rsidRDefault="00DA04A4">
      <w:pPr>
        <w:pStyle w:val="a3"/>
      </w:pPr>
    </w:p>
  </w:footnote>
  <w:footnote w:id="8">
    <w:p w:rsidR="00DA04A4" w:rsidRDefault="00DA04A4">
      <w:pPr>
        <w:pStyle w:val="a3"/>
        <w:rPr>
          <w:snapToGrid w:val="0"/>
        </w:rPr>
      </w:pPr>
      <w:r>
        <w:rPr>
          <w:rStyle w:val="a4"/>
        </w:rPr>
        <w:footnoteRef/>
      </w:r>
      <w:r>
        <w:t xml:space="preserve"> </w:t>
      </w:r>
      <w:r>
        <w:rPr>
          <w:snapToGrid w:val="0"/>
        </w:rPr>
        <w:t>Курьеров В. Г. Общие тенденции //ЭКО, №10,1997,3-11.</w:t>
      </w:r>
    </w:p>
    <w:p w:rsidR="00DA04A4" w:rsidRDefault="00DA04A4">
      <w:pPr>
        <w:pStyle w:val="a3"/>
        <w:rPr>
          <w:snapToGrid w:val="0"/>
        </w:rPr>
      </w:pPr>
    </w:p>
    <w:p w:rsidR="00DA04A4" w:rsidRDefault="00DA04A4">
      <w:pPr>
        <w:pStyle w:val="a3"/>
      </w:pPr>
    </w:p>
  </w:footnote>
  <w:footnote w:id="9">
    <w:p w:rsidR="00DA04A4" w:rsidRDefault="00DA04A4">
      <w:pPr>
        <w:pStyle w:val="a3"/>
        <w:rPr>
          <w:snapToGrid w:val="0"/>
        </w:rPr>
      </w:pPr>
      <w:r>
        <w:rPr>
          <w:rStyle w:val="a4"/>
        </w:rPr>
        <w:footnoteRef/>
      </w:r>
      <w:r>
        <w:t xml:space="preserve"> </w:t>
      </w:r>
      <w:r>
        <w:rPr>
          <w:snapToGrid w:val="0"/>
        </w:rPr>
        <w:t>Экономическая география. М.: Агропромиздат, 1990.</w:t>
      </w:r>
    </w:p>
    <w:p w:rsidR="00DA04A4" w:rsidRDefault="00DA04A4">
      <w:pPr>
        <w:pStyle w:val="a3"/>
      </w:pPr>
    </w:p>
  </w:footnote>
  <w:footnote w:id="10">
    <w:p w:rsidR="00DA04A4" w:rsidRDefault="00DA04A4">
      <w:pPr>
        <w:pStyle w:val="a3"/>
        <w:rPr>
          <w:snapToGrid w:val="0"/>
        </w:rPr>
      </w:pPr>
      <w:r>
        <w:rPr>
          <w:rStyle w:val="a4"/>
        </w:rPr>
        <w:footnoteRef/>
      </w:r>
      <w:r>
        <w:rPr>
          <w:rStyle w:val="a4"/>
        </w:rPr>
        <w:footnoteRef/>
      </w:r>
      <w:r>
        <w:t xml:space="preserve"> </w:t>
      </w:r>
      <w:r>
        <w:rPr>
          <w:snapToGrid w:val="0"/>
        </w:rPr>
        <w:t>ЯГОЛЬНИЦЕР М. А., КУПЕРШТОХ В. Л., ЗАНДЕР Е. В., ЗЛОДЕЕВ В. П. Управление рисками при закупках сырья в алюминиевой промышленности// ЭКО, №10,1997.</w:t>
      </w:r>
    </w:p>
    <w:p w:rsidR="00DA04A4" w:rsidRDefault="00DA04A4">
      <w:pPr>
        <w:pStyle w:val="a3"/>
      </w:pPr>
    </w:p>
  </w:footnote>
  <w:footnote w:id="11">
    <w:p w:rsidR="00DA04A4" w:rsidRDefault="00DA04A4">
      <w:pPr>
        <w:pStyle w:val="a3"/>
        <w:rPr>
          <w:snapToGrid w:val="0"/>
        </w:rPr>
      </w:pPr>
      <w:r>
        <w:rPr>
          <w:rStyle w:val="a4"/>
        </w:rPr>
        <w:footnoteRef/>
      </w:r>
      <w:r>
        <w:t xml:space="preserve"> </w:t>
      </w:r>
      <w:r>
        <w:rPr>
          <w:snapToGrid w:val="0"/>
        </w:rPr>
        <w:t>Курьеров В. Г. Общие тенденции //ЭКО, №10,1997,3-11.</w:t>
      </w:r>
    </w:p>
    <w:p w:rsidR="00DA04A4" w:rsidRDefault="00DA04A4">
      <w:pPr>
        <w:pStyle w:val="a3"/>
      </w:pPr>
    </w:p>
  </w:footnote>
  <w:footnote w:id="12">
    <w:p w:rsidR="00DA04A4" w:rsidRDefault="00DA04A4">
      <w:pPr>
        <w:pStyle w:val="a3"/>
      </w:pPr>
      <w:r>
        <w:rPr>
          <w:rStyle w:val="a4"/>
        </w:rPr>
        <w:footnoteRef/>
      </w:r>
      <w:r>
        <w:t xml:space="preserve"> </w:t>
      </w:r>
      <w:r>
        <w:rPr>
          <w:snapToGrid w:val="0"/>
        </w:rPr>
        <w:t xml:space="preserve">Конкурентоспособность российской промышленности// </w:t>
      </w:r>
      <w:r>
        <w:t>ЭКО, №5,1997.</w:t>
      </w:r>
    </w:p>
  </w:footnote>
  <w:footnote w:id="13">
    <w:p w:rsidR="00DA04A4" w:rsidRDefault="00DA04A4">
      <w:pPr>
        <w:pStyle w:val="-2"/>
        <w:ind w:firstLine="0"/>
        <w:jc w:val="left"/>
      </w:pPr>
      <w:r>
        <w:rPr>
          <w:rStyle w:val="a4"/>
        </w:rPr>
        <w:footnoteRef/>
      </w:r>
      <w:r>
        <w:t xml:space="preserve"> </w:t>
      </w:r>
      <w:r>
        <w:rPr>
          <w:rFonts w:ascii="Times New Roman" w:hAnsi="Times New Roman"/>
          <w:sz w:val="20"/>
        </w:rPr>
        <w:t>Промышленность в 1 квартале 1998 г. (по материалам Госкомстата РФ)//Экономист, №6,1998.</w:t>
      </w:r>
    </w:p>
  </w:footnote>
  <w:footnote w:id="14">
    <w:p w:rsidR="00DA04A4" w:rsidRDefault="00DA04A4">
      <w:pPr>
        <w:pStyle w:val="a3"/>
        <w:rPr>
          <w:snapToGrid w:val="0"/>
        </w:rPr>
      </w:pPr>
      <w:r>
        <w:rPr>
          <w:rStyle w:val="a4"/>
        </w:rPr>
        <w:footnoteRef/>
      </w:r>
      <w:r>
        <w:t xml:space="preserve"> </w:t>
      </w:r>
      <w:r>
        <w:rPr>
          <w:snapToGrid w:val="0"/>
        </w:rPr>
        <w:t>Куранов Г., Волков В. Российская экономика (январь-май1998г)//экономист, №8,98,,стр.8,9</w:t>
      </w:r>
    </w:p>
    <w:p w:rsidR="00DA04A4" w:rsidRDefault="00DA04A4">
      <w:pPr>
        <w:pStyle w:val="a3"/>
      </w:pPr>
    </w:p>
  </w:footnote>
  <w:footnote w:id="15">
    <w:p w:rsidR="00DA04A4" w:rsidRDefault="00DA04A4">
      <w:pPr>
        <w:pStyle w:val="a3"/>
      </w:pPr>
      <w:r>
        <w:rPr>
          <w:rStyle w:val="a4"/>
        </w:rPr>
        <w:footnoteRef/>
      </w:r>
      <w:r>
        <w:t xml:space="preserve"> </w:t>
      </w:r>
      <w:r>
        <w:rPr>
          <w:snapToGrid w:val="0"/>
        </w:rPr>
        <w:t xml:space="preserve">Клоцвог Ф., Абдыкулова Г., Кушникова И., Каширская С. Вариантный прогноз эволюции экономики российских регионов// </w:t>
      </w:r>
      <w:r>
        <w:t>Российский экономический журнал, №8, 1997г.</w:t>
      </w:r>
    </w:p>
    <w:p w:rsidR="00DA04A4" w:rsidRDefault="00DA04A4">
      <w:pPr>
        <w:pStyle w:val="a3"/>
      </w:pPr>
    </w:p>
    <w:p w:rsidR="00DA04A4" w:rsidRDefault="00DA04A4">
      <w:pPr>
        <w:pStyle w:val="a3"/>
      </w:pPr>
    </w:p>
  </w:footnote>
  <w:footnote w:id="16">
    <w:p w:rsidR="00DA04A4" w:rsidRDefault="00DA04A4">
      <w:pPr>
        <w:pStyle w:val="a3"/>
        <w:rPr>
          <w:snapToGrid w:val="0"/>
        </w:rPr>
      </w:pPr>
      <w:r>
        <w:rPr>
          <w:rStyle w:val="a4"/>
        </w:rPr>
        <w:footnoteRef/>
      </w:r>
      <w:r>
        <w:t xml:space="preserve"> </w:t>
      </w:r>
      <w:r>
        <w:rPr>
          <w:snapToGrid w:val="0"/>
        </w:rPr>
        <w:t>Куранов Г., Волков В. Российская экономика (январь-май1998г)//экономист, №8,98,,стр.8,9</w:t>
      </w:r>
    </w:p>
    <w:p w:rsidR="00DA04A4" w:rsidRDefault="00DA04A4">
      <w:pPr>
        <w:pStyle w:val="a3"/>
      </w:pPr>
    </w:p>
  </w:footnote>
  <w:footnote w:id="17">
    <w:p w:rsidR="00DA04A4" w:rsidRDefault="00DA04A4">
      <w:pPr>
        <w:pStyle w:val="a3"/>
      </w:pPr>
      <w:r>
        <w:rPr>
          <w:rStyle w:val="a4"/>
        </w:rPr>
        <w:footnoteRef/>
      </w:r>
      <w:r>
        <w:t xml:space="preserve"> </w:t>
      </w:r>
      <w:r>
        <w:rPr>
          <w:snapToGrid w:val="0"/>
        </w:rPr>
        <w:t xml:space="preserve">Клоцвог Ф., Абдыкулова Г., Кушникова И., Каширская С. Вариантный прогноз эволюции экономики российских регионов// </w:t>
      </w:r>
      <w:r>
        <w:t>Российский экономический журнал, №8, 1997г.</w:t>
      </w:r>
    </w:p>
    <w:p w:rsidR="00DA04A4" w:rsidRDefault="00DA04A4">
      <w:pPr>
        <w:pStyle w:val="a3"/>
      </w:pPr>
    </w:p>
  </w:footnote>
  <w:footnote w:id="18">
    <w:p w:rsidR="00DA04A4" w:rsidRDefault="00DA04A4">
      <w:pPr>
        <w:pStyle w:val="a3"/>
        <w:rPr>
          <w:snapToGrid w:val="0"/>
        </w:rPr>
      </w:pPr>
      <w:r>
        <w:rPr>
          <w:rStyle w:val="a4"/>
        </w:rPr>
        <w:footnoteRef/>
      </w:r>
      <w:r>
        <w:t xml:space="preserve"> </w:t>
      </w:r>
      <w:r>
        <w:rPr>
          <w:snapToGrid w:val="0"/>
        </w:rPr>
        <w:t>Куранов Г., Волков В. Российская экономика (январь-май1998г)//экономист, №8,98,,стр.8,9</w:t>
      </w:r>
    </w:p>
    <w:p w:rsidR="00DA04A4" w:rsidRDefault="00DA04A4">
      <w:pPr>
        <w:pStyle w:val="a3"/>
      </w:pPr>
    </w:p>
  </w:footnote>
  <w:footnote w:id="19">
    <w:p w:rsidR="00DA04A4" w:rsidRDefault="00DA04A4">
      <w:pPr>
        <w:pStyle w:val="a3"/>
      </w:pPr>
      <w:r>
        <w:rPr>
          <w:rStyle w:val="a4"/>
        </w:rPr>
        <w:footnoteRef/>
      </w:r>
      <w:r>
        <w:t xml:space="preserve"> </w:t>
      </w:r>
      <w:r>
        <w:rPr>
          <w:snapToGrid w:val="0"/>
        </w:rPr>
        <w:t xml:space="preserve">Конкурентоспособность российской промышленности// </w:t>
      </w:r>
      <w:r>
        <w:t>ЭКО, №5,1997.</w:t>
      </w:r>
    </w:p>
    <w:p w:rsidR="00DA04A4" w:rsidRDefault="00DA04A4">
      <w:pPr>
        <w:pStyle w:val="a3"/>
      </w:pPr>
    </w:p>
    <w:p w:rsidR="00DA04A4" w:rsidRDefault="00DA04A4">
      <w:pPr>
        <w:pStyle w:val="a3"/>
      </w:pPr>
    </w:p>
  </w:footnote>
  <w:footnote w:id="20">
    <w:p w:rsidR="00DA04A4" w:rsidRDefault="00DA04A4">
      <w:pPr>
        <w:pStyle w:val="a3"/>
      </w:pPr>
      <w:r>
        <w:rPr>
          <w:rStyle w:val="a4"/>
        </w:rPr>
        <w:footnoteRef/>
      </w:r>
      <w:r>
        <w:t xml:space="preserve"> </w:t>
      </w:r>
      <w:r>
        <w:rPr>
          <w:snapToGrid w:val="0"/>
        </w:rPr>
        <w:t xml:space="preserve">Конкурентоспособность российской промышленности// </w:t>
      </w:r>
      <w:r>
        <w:t>ЭКО, №5,1997.</w:t>
      </w:r>
    </w:p>
    <w:p w:rsidR="00DA04A4" w:rsidRDefault="00DA04A4">
      <w:pPr>
        <w:pStyle w:val="a3"/>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4A4" w:rsidRDefault="00DA04A4">
    <w:pPr>
      <w:pStyle w:val="a5"/>
      <w:framePr w:wrap="around" w:vAnchor="text" w:hAnchor="margin" w:xAlign="right" w:y="1"/>
      <w:rPr>
        <w:rStyle w:val="a6"/>
      </w:rPr>
    </w:pPr>
    <w:r>
      <w:rPr>
        <w:rStyle w:val="a6"/>
        <w:noProof/>
      </w:rPr>
      <w:t>1</w:t>
    </w:r>
  </w:p>
  <w:p w:rsidR="00DA04A4" w:rsidRDefault="00DA04A4">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4A4" w:rsidRDefault="00FB5A99">
    <w:pPr>
      <w:pStyle w:val="a5"/>
      <w:framePr w:wrap="around" w:vAnchor="text" w:hAnchor="margin" w:xAlign="right" w:y="1"/>
      <w:rPr>
        <w:rStyle w:val="a6"/>
      </w:rPr>
    </w:pPr>
    <w:r>
      <w:rPr>
        <w:rStyle w:val="a6"/>
        <w:noProof/>
      </w:rPr>
      <w:t>3</w:t>
    </w:r>
  </w:p>
  <w:p w:rsidR="00DA04A4" w:rsidRDefault="00DA04A4">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82132"/>
    <w:multiLevelType w:val="multilevel"/>
    <w:tmpl w:val="AC688854"/>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
    <w:nsid w:val="045C7BC1"/>
    <w:multiLevelType w:val="multilevel"/>
    <w:tmpl w:val="C0F87C2C"/>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
    <w:nsid w:val="1D0B5D3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3">
    <w:nsid w:val="22C46B63"/>
    <w:multiLevelType w:val="singleLevel"/>
    <w:tmpl w:val="0419000F"/>
    <w:lvl w:ilvl="0">
      <w:start w:val="1"/>
      <w:numFmt w:val="decimal"/>
      <w:lvlText w:val="%1."/>
      <w:lvlJc w:val="left"/>
      <w:pPr>
        <w:tabs>
          <w:tab w:val="num" w:pos="360"/>
        </w:tabs>
        <w:ind w:left="360" w:hanging="360"/>
      </w:pPr>
    </w:lvl>
  </w:abstractNum>
  <w:abstractNum w:abstractNumId="4">
    <w:nsid w:val="356F2D8F"/>
    <w:multiLevelType w:val="multilevel"/>
    <w:tmpl w:val="C67E859A"/>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5">
    <w:nsid w:val="4B3579CC"/>
    <w:multiLevelType w:val="multilevel"/>
    <w:tmpl w:val="75F813F8"/>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6">
    <w:nsid w:val="4D736CAD"/>
    <w:multiLevelType w:val="multilevel"/>
    <w:tmpl w:val="11C8A76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7">
    <w:nsid w:val="67F15571"/>
    <w:multiLevelType w:val="singleLevel"/>
    <w:tmpl w:val="0419000F"/>
    <w:lvl w:ilvl="0">
      <w:start w:val="1"/>
      <w:numFmt w:val="decimal"/>
      <w:lvlText w:val="%1."/>
      <w:lvlJc w:val="left"/>
      <w:pPr>
        <w:tabs>
          <w:tab w:val="num" w:pos="360"/>
        </w:tabs>
        <w:ind w:left="360" w:hanging="360"/>
      </w:pPr>
    </w:lvl>
  </w:abstractNum>
  <w:abstractNum w:abstractNumId="8">
    <w:nsid w:val="71CD1A01"/>
    <w:multiLevelType w:val="singleLevel"/>
    <w:tmpl w:val="0419000F"/>
    <w:lvl w:ilvl="0">
      <w:start w:val="1"/>
      <w:numFmt w:val="decimal"/>
      <w:lvlText w:val="%1."/>
      <w:lvlJc w:val="left"/>
      <w:pPr>
        <w:tabs>
          <w:tab w:val="num" w:pos="360"/>
        </w:tabs>
        <w:ind w:left="360" w:hanging="360"/>
      </w:pPr>
    </w:lvl>
  </w:abstractNum>
  <w:abstractNum w:abstractNumId="9">
    <w:nsid w:val="73681F8C"/>
    <w:multiLevelType w:val="multilevel"/>
    <w:tmpl w:val="13BC95C6"/>
    <w:lvl w:ilvl="0">
      <w:start w:val="1"/>
      <w:numFmt w:val="decimal"/>
      <w:pStyle w:val="-1"/>
      <w:lvlText w:val="%1 "/>
      <w:lvlJc w:val="left"/>
      <w:pPr>
        <w:tabs>
          <w:tab w:val="num" w:pos="360"/>
        </w:tabs>
        <w:ind w:left="360" w:hanging="360"/>
      </w:pPr>
    </w:lvl>
    <w:lvl w:ilvl="1">
      <w:start w:val="1"/>
      <w:numFmt w:val="decimal"/>
      <w:pStyle w:val="-11"/>
      <w:lvlText w:val="%1.%2 "/>
      <w:lvlJc w:val="left"/>
      <w:pPr>
        <w:tabs>
          <w:tab w:val="num" w:pos="1080"/>
        </w:tabs>
        <w:ind w:left="792" w:hanging="432"/>
      </w:pPr>
    </w:lvl>
    <w:lvl w:ilvl="2">
      <w:start w:val="1"/>
      <w:numFmt w:val="decimal"/>
      <w:pStyle w:val="-111"/>
      <w:lvlText w:val="%1.%2.%3 "/>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0">
    <w:nsid w:val="7D0874B6"/>
    <w:multiLevelType w:val="multilevel"/>
    <w:tmpl w:val="59CC789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1">
    <w:nsid w:val="7F1512DF"/>
    <w:multiLevelType w:val="multilevel"/>
    <w:tmpl w:val="C7942C76"/>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num w:numId="1">
    <w:abstractNumId w:val="0"/>
  </w:num>
  <w:num w:numId="2">
    <w:abstractNumId w:val="0"/>
  </w:num>
  <w:num w:numId="3">
    <w:abstractNumId w:val="0"/>
  </w:num>
  <w:num w:numId="4">
    <w:abstractNumId w:val="6"/>
  </w:num>
  <w:num w:numId="5">
    <w:abstractNumId w:val="0"/>
  </w:num>
  <w:num w:numId="6">
    <w:abstractNumId w:val="0"/>
  </w:num>
  <w:num w:numId="7">
    <w:abstractNumId w:val="0"/>
  </w:num>
  <w:num w:numId="8">
    <w:abstractNumId w:val="0"/>
  </w:num>
  <w:num w:numId="9">
    <w:abstractNumId w:val="0"/>
  </w:num>
  <w:num w:numId="10">
    <w:abstractNumId w:val="0"/>
  </w:num>
  <w:num w:numId="11">
    <w:abstractNumId w:val="0"/>
  </w:num>
  <w:num w:numId="12">
    <w:abstractNumId w:val="0"/>
  </w:num>
  <w:num w:numId="13">
    <w:abstractNumId w:val="6"/>
  </w:num>
  <w:num w:numId="14">
    <w:abstractNumId w:val="11"/>
  </w:num>
  <w:num w:numId="15">
    <w:abstractNumId w:val="0"/>
  </w:num>
  <w:num w:numId="16">
    <w:abstractNumId w:val="0"/>
  </w:num>
  <w:num w:numId="17">
    <w:abstractNumId w:val="0"/>
  </w:num>
  <w:num w:numId="18">
    <w:abstractNumId w:val="0"/>
  </w:num>
  <w:num w:numId="19">
    <w:abstractNumId w:val="6"/>
  </w:num>
  <w:num w:numId="20">
    <w:abstractNumId w:val="6"/>
  </w:num>
  <w:num w:numId="21">
    <w:abstractNumId w:val="6"/>
  </w:num>
  <w:num w:numId="22">
    <w:abstractNumId w:val="6"/>
  </w:num>
  <w:num w:numId="23">
    <w:abstractNumId w:val="6"/>
  </w:num>
  <w:num w:numId="24">
    <w:abstractNumId w:val="6"/>
  </w:num>
  <w:num w:numId="25">
    <w:abstractNumId w:val="6"/>
  </w:num>
  <w:num w:numId="26">
    <w:abstractNumId w:val="6"/>
  </w:num>
  <w:num w:numId="27">
    <w:abstractNumId w:val="6"/>
  </w:num>
  <w:num w:numId="28">
    <w:abstractNumId w:val="6"/>
  </w:num>
  <w:num w:numId="29">
    <w:abstractNumId w:val="10"/>
  </w:num>
  <w:num w:numId="30">
    <w:abstractNumId w:val="1"/>
  </w:num>
  <w:num w:numId="31">
    <w:abstractNumId w:val="4"/>
  </w:num>
  <w:num w:numId="32">
    <w:abstractNumId w:val="5"/>
  </w:num>
  <w:num w:numId="33">
    <w:abstractNumId w:val="9"/>
  </w:num>
  <w:num w:numId="34">
    <w:abstractNumId w:val="2"/>
  </w:num>
  <w:num w:numId="35">
    <w:abstractNumId w:val="7"/>
  </w:num>
  <w:num w:numId="36">
    <w:abstractNumId w:val="3"/>
  </w:num>
  <w:num w:numId="3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hideSpellingErrors/>
  <w:activeWritingStyle w:appName="MSWord" w:lang="en-US" w:vendorID="8" w:dllVersion="513" w:checkStyle="1"/>
  <w:activeWritingStyle w:appName="MSWord" w:lang="ru-RU" w:vendorID="1" w:dllVersion="512" w:checkStyle="1"/>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5A99"/>
    <w:rsid w:val="001744B7"/>
    <w:rsid w:val="005621A9"/>
    <w:rsid w:val="00806E10"/>
    <w:rsid w:val="00DA04A4"/>
    <w:rsid w:val="00FB5A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outlineLvl w:val="0"/>
    </w:pPr>
    <w:rPr>
      <w:rFonts w:ascii="Bookman Old Style" w:hAnsi="Bookman Old Style"/>
      <w:sz w:val="28"/>
      <w:lang w:val="en-US"/>
    </w:rPr>
  </w:style>
  <w:style w:type="paragraph" w:styleId="2">
    <w:name w:val="heading 2"/>
    <w:basedOn w:val="a"/>
    <w:next w:val="a"/>
    <w:qFormat/>
    <w:pPr>
      <w:keepNext/>
      <w:outlineLvl w:val="1"/>
    </w:pPr>
    <w:rPr>
      <w:rFonts w:ascii="Bookman Old Style" w:hAnsi="Bookman Old Style"/>
      <w:sz w:val="24"/>
      <w:lang w:val="en-US"/>
    </w:rPr>
  </w:style>
  <w:style w:type="paragraph" w:styleId="3">
    <w:name w:val="heading 3"/>
    <w:basedOn w:val="a"/>
    <w:next w:val="a"/>
    <w:qFormat/>
    <w:pPr>
      <w:keepNext/>
      <w:spacing w:line="360" w:lineRule="auto"/>
      <w:jc w:val="center"/>
      <w:outlineLvl w:val="2"/>
    </w:pPr>
    <w:rPr>
      <w:rFonts w:ascii="Courier New" w:hAnsi="Courier New"/>
      <w:b/>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к - 1 н"/>
    <w:basedOn w:val="a"/>
    <w:pPr>
      <w:keepNext/>
      <w:pageBreakBefore/>
      <w:tabs>
        <w:tab w:val="num" w:pos="360"/>
      </w:tabs>
      <w:ind w:firstLine="357"/>
      <w:jc w:val="center"/>
    </w:pPr>
    <w:rPr>
      <w:b/>
      <w:sz w:val="36"/>
    </w:rPr>
  </w:style>
  <w:style w:type="paragraph" w:customStyle="1" w:styleId="-1">
    <w:name w:val="к - 1"/>
    <w:basedOn w:val="a"/>
    <w:pPr>
      <w:keepNext/>
      <w:numPr>
        <w:numId w:val="33"/>
      </w:numPr>
      <w:jc w:val="center"/>
    </w:pPr>
    <w:rPr>
      <w:b/>
      <w:sz w:val="36"/>
    </w:rPr>
  </w:style>
  <w:style w:type="paragraph" w:customStyle="1" w:styleId="-11">
    <w:name w:val="к - 11"/>
    <w:basedOn w:val="a"/>
    <w:pPr>
      <w:keepNext/>
      <w:numPr>
        <w:ilvl w:val="1"/>
        <w:numId w:val="33"/>
      </w:numPr>
      <w:jc w:val="center"/>
    </w:pPr>
    <w:rPr>
      <w:b/>
      <w:sz w:val="32"/>
    </w:rPr>
  </w:style>
  <w:style w:type="paragraph" w:customStyle="1" w:styleId="-111">
    <w:name w:val="к - 111"/>
    <w:basedOn w:val="a"/>
    <w:pPr>
      <w:keepNext/>
      <w:numPr>
        <w:ilvl w:val="2"/>
        <w:numId w:val="33"/>
      </w:numPr>
    </w:pPr>
    <w:rPr>
      <w:b/>
      <w:sz w:val="28"/>
    </w:rPr>
  </w:style>
  <w:style w:type="paragraph" w:customStyle="1" w:styleId="-">
    <w:name w:val="к - текст"/>
    <w:basedOn w:val="1"/>
    <w:pPr>
      <w:keepNext w:val="0"/>
      <w:spacing w:line="360" w:lineRule="auto"/>
      <w:ind w:firstLine="720"/>
      <w:jc w:val="both"/>
    </w:pPr>
  </w:style>
  <w:style w:type="paragraph" w:customStyle="1" w:styleId="-0">
    <w:name w:val="к - текст мал"/>
    <w:basedOn w:val="-"/>
    <w:rPr>
      <w:sz w:val="24"/>
    </w:rPr>
  </w:style>
  <w:style w:type="paragraph" w:customStyle="1" w:styleId="-00">
    <w:name w:val="к - 0"/>
    <w:basedOn w:val="a"/>
    <w:pPr>
      <w:keepNext/>
      <w:pageBreakBefore/>
      <w:ind w:firstLine="720"/>
      <w:jc w:val="center"/>
    </w:pPr>
    <w:rPr>
      <w:b/>
      <w:sz w:val="40"/>
    </w:rPr>
  </w:style>
  <w:style w:type="paragraph" w:styleId="10">
    <w:name w:val="toc 1"/>
    <w:basedOn w:val="a"/>
    <w:next w:val="a"/>
    <w:autoRedefine/>
    <w:semiHidden/>
  </w:style>
  <w:style w:type="paragraph" w:customStyle="1" w:styleId="-2">
    <w:name w:val="к - текст кур"/>
    <w:basedOn w:val="-"/>
    <w:rPr>
      <w:rFonts w:ascii="Courier New" w:hAnsi="Courier New"/>
    </w:rPr>
  </w:style>
  <w:style w:type="paragraph" w:styleId="20">
    <w:name w:val="toc 2"/>
    <w:basedOn w:val="a"/>
    <w:next w:val="a"/>
    <w:autoRedefine/>
    <w:semiHidden/>
    <w:pPr>
      <w:ind w:left="200"/>
    </w:pPr>
  </w:style>
  <w:style w:type="paragraph" w:styleId="30">
    <w:name w:val="toc 3"/>
    <w:basedOn w:val="a"/>
    <w:next w:val="a"/>
    <w:autoRedefine/>
    <w:semiHidden/>
    <w:pPr>
      <w:ind w:left="400"/>
    </w:pPr>
  </w:style>
  <w:style w:type="paragraph" w:styleId="4">
    <w:name w:val="toc 4"/>
    <w:basedOn w:val="a"/>
    <w:next w:val="a"/>
    <w:autoRedefine/>
    <w:semiHidden/>
    <w:pPr>
      <w:ind w:left="600"/>
    </w:pPr>
  </w:style>
  <w:style w:type="paragraph" w:styleId="5">
    <w:name w:val="toc 5"/>
    <w:basedOn w:val="a"/>
    <w:next w:val="a"/>
    <w:autoRedefine/>
    <w:semiHidden/>
    <w:pPr>
      <w:ind w:left="800"/>
    </w:pPr>
  </w:style>
  <w:style w:type="paragraph" w:styleId="6">
    <w:name w:val="toc 6"/>
    <w:basedOn w:val="a"/>
    <w:next w:val="a"/>
    <w:autoRedefine/>
    <w:semiHidden/>
    <w:pPr>
      <w:ind w:left="1000"/>
    </w:pPr>
  </w:style>
  <w:style w:type="paragraph" w:styleId="7">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 w:type="paragraph" w:styleId="a3">
    <w:name w:val="footnote text"/>
    <w:basedOn w:val="a"/>
    <w:semiHidden/>
  </w:style>
  <w:style w:type="character" w:styleId="a4">
    <w:name w:val="footnote reference"/>
    <w:semiHidden/>
    <w:rPr>
      <w:vertAlign w:val="superscript"/>
    </w:rPr>
  </w:style>
  <w:style w:type="paragraph" w:styleId="a5">
    <w:name w:val="header"/>
    <w:basedOn w:val="a"/>
    <w:semiHidden/>
    <w:pPr>
      <w:tabs>
        <w:tab w:val="center" w:pos="4153"/>
        <w:tab w:val="right" w:pos="8306"/>
      </w:tabs>
    </w:pPr>
  </w:style>
  <w:style w:type="character" w:styleId="a6">
    <w:name w:val="page number"/>
    <w:basedOn w:val="a0"/>
    <w:semiHidden/>
  </w:style>
  <w:style w:type="paragraph" w:styleId="a7">
    <w:name w:val="Title"/>
    <w:basedOn w:val="a"/>
    <w:qFormat/>
    <w:pPr>
      <w:spacing w:line="360" w:lineRule="auto"/>
      <w:jc w:val="center"/>
    </w:pPr>
    <w:rPr>
      <w:rFonts w:ascii="Courier New" w:hAnsi="Courier New"/>
      <w:b/>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6098</Words>
  <Characters>41849</Characters>
  <Application>Microsoft Office Word</Application>
  <DocSecurity>0</DocSecurity>
  <Lines>1214</Lines>
  <Paragraphs>276</Paragraphs>
  <ScaleCrop>false</ScaleCrop>
  <HeadingPairs>
    <vt:vector size="2" baseType="variant">
      <vt:variant>
        <vt:lpstr>Название</vt:lpstr>
      </vt:variant>
      <vt:variant>
        <vt:i4>1</vt:i4>
      </vt:variant>
    </vt:vector>
  </HeadingPairs>
  <TitlesOfParts>
    <vt:vector size="1" baseType="lpstr">
      <vt:lpstr>«Экономист», 6,98</vt:lpstr>
    </vt:vector>
  </TitlesOfParts>
  <Company/>
  <LinksUpToDate>false</LinksUpToDate>
  <CharactersWithSpaces>47952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«Экономист», 6,98</dc:title>
  <dc:subject/>
  <dc:creator/>
  <cp:keywords/>
  <cp:lastModifiedBy>Alex</cp:lastModifiedBy>
  <cp:revision>2</cp:revision>
  <cp:lastPrinted>1998-12-02T16:37:00Z</cp:lastPrinted>
  <dcterms:created xsi:type="dcterms:W3CDTF">2016-12-19T04:28:00Z</dcterms:created>
  <dcterms:modified xsi:type="dcterms:W3CDTF">2016-12-19T04:28:00Z</dcterms:modified>
</cp:coreProperties>
</file>