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10EBD" w:rsidRDefault="00710EBD">
      <w:pPr>
        <w:pStyle w:val="aa"/>
      </w:pPr>
      <w:bookmarkStart w:id="0" w:name="_GoBack"/>
      <w:bookmarkEnd w:id="0"/>
    </w:p>
    <w:p w:rsidR="00710EBD" w:rsidRDefault="00054A29">
      <w:pPr>
        <w:pStyle w:val="aa"/>
      </w:pPr>
      <w:r>
        <w:t>Венгрия</w:t>
      </w:r>
    </w:p>
    <w:p w:rsidR="00710EBD" w:rsidRDefault="00054A29">
      <w:pPr>
        <w:jc w:val="center"/>
        <w:rPr>
          <w:sz w:val="52"/>
        </w:rPr>
      </w:pPr>
      <w:r>
        <w:rPr>
          <w:sz w:val="52"/>
        </w:rPr>
        <w:t>Экономико-географическая</w:t>
      </w:r>
    </w:p>
    <w:p w:rsidR="00710EBD" w:rsidRDefault="00B00063">
      <w:pPr>
        <w:jc w:val="center"/>
      </w:pPr>
      <w:r>
        <w:rPr>
          <w:noProof/>
        </w:rPr>
        <w:pict>
          <v:shape id="_x0000_s1034" style="position:absolute;left:0;text-align:left;margin-left:-79.9pt;margin-top:6.1pt;width:.05pt;height:14.4pt;z-index:251657728;mso-position-horizontal-relative:text;mso-position-vertical-relative:text" coordsize="1,288" o:allowincell="f" path="m,c,,,288,,288,,288,,,,xe">
            <v:path arrowok="t"/>
          </v:shape>
        </w:pict>
      </w:r>
      <w:r>
        <w:rPr>
          <w:noProof/>
        </w:rPr>
        <w:pict>
          <v:line id="_x0000_s1033" style="position:absolute;left:0;text-align:left;z-index:251656704" from="49.5pt,-24.3pt" to="49.5pt,-24.3pt" o:allowincell="f"/>
        </w:pict>
      </w:r>
      <w:r w:rsidR="00054A29">
        <w:rPr>
          <w:sz w:val="52"/>
        </w:rPr>
        <w:t>характеристика</w:t>
      </w:r>
    </w:p>
    <w:p w:rsidR="00710EBD" w:rsidRDefault="00710EBD">
      <w:pPr>
        <w:jc w:val="center"/>
      </w:pPr>
    </w:p>
    <w:p w:rsidR="00710EBD" w:rsidRDefault="00710EBD">
      <w:pPr>
        <w:jc w:val="center"/>
      </w:pPr>
    </w:p>
    <w:p w:rsidR="00710EBD" w:rsidRDefault="00710EBD"/>
    <w:p w:rsidR="00710EBD" w:rsidRDefault="00710EBD">
      <w:pPr>
        <w:jc w:val="center"/>
      </w:pPr>
    </w:p>
    <w:p w:rsidR="00710EBD" w:rsidRDefault="00710EBD"/>
    <w:p w:rsidR="00710EBD" w:rsidRDefault="00B00063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5" type="#_x0000_t75" style="position:absolute;left:0;text-align:left;margin-left:0;margin-top:0;width:392.25pt;height:227.25pt;z-index:251658752" o:allowincell="f">
            <v:imagedata r:id="rId8" o:title=""/>
            <w10:wrap type="topAndBottom"/>
          </v:shape>
          <o:OLEObject Type="Embed" ProgID="PBrush" ShapeID="_x0000_s1035" DrawAspect="Content" ObjectID="_1543818375" r:id="rId9"/>
        </w:pict>
      </w:r>
    </w:p>
    <w:p w:rsidR="00710EBD" w:rsidRDefault="00710EBD">
      <w:pPr>
        <w:rPr>
          <w:sz w:val="36"/>
        </w:rPr>
      </w:pPr>
    </w:p>
    <w:p w:rsidR="00710EBD" w:rsidRDefault="00054A29">
      <w:pPr>
        <w:jc w:val="right"/>
        <w:rPr>
          <w:sz w:val="36"/>
        </w:rPr>
      </w:pPr>
      <w:r>
        <w:rPr>
          <w:sz w:val="36"/>
        </w:rPr>
        <w:t xml:space="preserve">Реферат по географии </w:t>
      </w:r>
    </w:p>
    <w:p w:rsidR="00710EBD" w:rsidRDefault="00054A29">
      <w:pPr>
        <w:jc w:val="right"/>
        <w:rPr>
          <w:sz w:val="36"/>
        </w:rPr>
      </w:pPr>
      <w:r>
        <w:rPr>
          <w:sz w:val="36"/>
        </w:rPr>
        <w:t xml:space="preserve">Каблова Дениса </w:t>
      </w:r>
    </w:p>
    <w:p w:rsidR="00710EBD" w:rsidRDefault="00710EBD">
      <w:pPr>
        <w:jc w:val="right"/>
        <w:rPr>
          <w:sz w:val="36"/>
        </w:rPr>
      </w:pPr>
    </w:p>
    <w:p w:rsidR="00710EBD" w:rsidRDefault="00710EBD">
      <w:pPr>
        <w:jc w:val="right"/>
        <w:rPr>
          <w:sz w:val="36"/>
        </w:rPr>
      </w:pPr>
    </w:p>
    <w:p w:rsidR="00710EBD" w:rsidRDefault="00710EBD">
      <w:pPr>
        <w:jc w:val="right"/>
        <w:rPr>
          <w:sz w:val="36"/>
        </w:rPr>
      </w:pPr>
    </w:p>
    <w:p w:rsidR="00710EBD" w:rsidRDefault="00710EBD">
      <w:pPr>
        <w:jc w:val="right"/>
        <w:rPr>
          <w:sz w:val="36"/>
        </w:rPr>
      </w:pPr>
    </w:p>
    <w:p w:rsidR="00710EBD" w:rsidRDefault="00710EBD">
      <w:pPr>
        <w:jc w:val="right"/>
        <w:rPr>
          <w:sz w:val="36"/>
        </w:rPr>
      </w:pPr>
    </w:p>
    <w:p w:rsidR="00710EBD" w:rsidRDefault="00710EBD">
      <w:pPr>
        <w:jc w:val="right"/>
      </w:pPr>
    </w:p>
    <w:p w:rsidR="00710EBD" w:rsidRDefault="00710EBD"/>
    <w:p w:rsidR="00710EBD" w:rsidRDefault="00710EBD">
      <w:pPr>
        <w:spacing w:line="480" w:lineRule="auto"/>
        <w:jc w:val="center"/>
        <w:rPr>
          <w:rFonts w:ascii="Bookman Old Style" w:hAnsi="Bookman Old Style"/>
          <w:sz w:val="28"/>
        </w:rPr>
      </w:pPr>
    </w:p>
    <w:p w:rsidR="00710EBD" w:rsidRDefault="00710EBD">
      <w:pPr>
        <w:spacing w:line="480" w:lineRule="auto"/>
        <w:jc w:val="center"/>
        <w:rPr>
          <w:rFonts w:ascii="Bookman Old Style" w:hAnsi="Bookman Old Style"/>
          <w:sz w:val="28"/>
        </w:rPr>
      </w:pPr>
    </w:p>
    <w:p w:rsidR="00710EBD" w:rsidRDefault="00054A29">
      <w:pPr>
        <w:spacing w:line="480" w:lineRule="auto"/>
        <w:jc w:val="center"/>
        <w:rPr>
          <w:rFonts w:ascii="Bookman Old Style" w:hAnsi="Bookman Old Style"/>
          <w:sz w:val="28"/>
        </w:rPr>
      </w:pPr>
      <w:r>
        <w:rPr>
          <w:rFonts w:ascii="Bookman Old Style" w:hAnsi="Bookman Old Style"/>
          <w:sz w:val="28"/>
        </w:rPr>
        <w:t>Содержание.</w:t>
      </w:r>
    </w:p>
    <w:p w:rsidR="00710EBD" w:rsidRDefault="00710EBD">
      <w:pPr>
        <w:spacing w:line="480" w:lineRule="auto"/>
        <w:jc w:val="both"/>
        <w:rPr>
          <w:rFonts w:ascii="Bookman Old Style" w:hAnsi="Bookman Old Style"/>
          <w:sz w:val="28"/>
        </w:rPr>
      </w:pPr>
    </w:p>
    <w:p w:rsidR="00710EBD" w:rsidRDefault="00054A29">
      <w:pPr>
        <w:pStyle w:val="1"/>
        <w:spacing w:line="480" w:lineRule="auto"/>
        <w:jc w:val="both"/>
      </w:pPr>
      <w:r>
        <w:t>1.Географическое положение……………………………………………………. …………..1</w:t>
      </w:r>
    </w:p>
    <w:p w:rsidR="00710EBD" w:rsidRDefault="00054A29">
      <w:pPr>
        <w:numPr>
          <w:ilvl w:val="0"/>
          <w:numId w:val="15"/>
        </w:numPr>
        <w:spacing w:line="480" w:lineRule="auto"/>
        <w:jc w:val="both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Внутриполитическое устройство………………………………………………………….1</w:t>
      </w:r>
    </w:p>
    <w:p w:rsidR="00710EBD" w:rsidRDefault="00054A29">
      <w:pPr>
        <w:numPr>
          <w:ilvl w:val="0"/>
          <w:numId w:val="15"/>
        </w:numPr>
        <w:spacing w:line="480" w:lineRule="auto"/>
        <w:jc w:val="both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Рельеф…………………………………………………………………………………………….1</w:t>
      </w:r>
    </w:p>
    <w:p w:rsidR="00710EBD" w:rsidRDefault="00054A29">
      <w:pPr>
        <w:numPr>
          <w:ilvl w:val="0"/>
          <w:numId w:val="15"/>
        </w:numPr>
        <w:spacing w:line="480" w:lineRule="auto"/>
        <w:jc w:val="both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Климат……………………………………………………………………………………………2</w:t>
      </w:r>
    </w:p>
    <w:p w:rsidR="00710EBD" w:rsidRDefault="00054A29">
      <w:pPr>
        <w:pStyle w:val="1"/>
        <w:spacing w:line="480" w:lineRule="auto"/>
        <w:jc w:val="both"/>
      </w:pPr>
      <w:r>
        <w:t>2.Природные ресурсы……………………………………………………………………………3</w:t>
      </w:r>
    </w:p>
    <w:p w:rsidR="00710EBD" w:rsidRDefault="00054A29">
      <w:pPr>
        <w:numPr>
          <w:ilvl w:val="0"/>
          <w:numId w:val="16"/>
        </w:numPr>
        <w:spacing w:line="480" w:lineRule="auto"/>
        <w:jc w:val="both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Водные ресурсы……………………………………………………………………………….3</w:t>
      </w:r>
    </w:p>
    <w:p w:rsidR="00710EBD" w:rsidRDefault="00054A29">
      <w:pPr>
        <w:numPr>
          <w:ilvl w:val="0"/>
          <w:numId w:val="16"/>
        </w:numPr>
        <w:spacing w:line="480" w:lineRule="auto"/>
        <w:jc w:val="both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Минеральные ресурсы……………………………………………………………………….4</w:t>
      </w:r>
    </w:p>
    <w:p w:rsidR="00710EBD" w:rsidRDefault="00054A29">
      <w:pPr>
        <w:pStyle w:val="1"/>
        <w:spacing w:line="480" w:lineRule="auto"/>
        <w:jc w:val="both"/>
      </w:pPr>
      <w:r>
        <w:t>3. Население………………………………………………………………………………………..6</w:t>
      </w:r>
    </w:p>
    <w:p w:rsidR="00710EBD" w:rsidRDefault="00054A29">
      <w:pPr>
        <w:pStyle w:val="1"/>
        <w:spacing w:line="480" w:lineRule="auto"/>
        <w:jc w:val="both"/>
      </w:pPr>
      <w:r>
        <w:t>4.Особенности хозяйства……………………………………………………………………….7</w:t>
      </w:r>
    </w:p>
    <w:p w:rsidR="00710EBD" w:rsidRDefault="00054A29">
      <w:pPr>
        <w:numPr>
          <w:ilvl w:val="0"/>
          <w:numId w:val="17"/>
        </w:numPr>
        <w:spacing w:line="480" w:lineRule="auto"/>
        <w:jc w:val="both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Уровень экономического развития……….……………………………………………...7</w:t>
      </w:r>
    </w:p>
    <w:p w:rsidR="00710EBD" w:rsidRDefault="00054A29">
      <w:pPr>
        <w:numPr>
          <w:ilvl w:val="0"/>
          <w:numId w:val="17"/>
        </w:numPr>
        <w:spacing w:line="480" w:lineRule="auto"/>
        <w:jc w:val="both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Характеристика промышленности……………………………………………………….7</w:t>
      </w:r>
    </w:p>
    <w:p w:rsidR="00710EBD" w:rsidRDefault="00054A29">
      <w:pPr>
        <w:numPr>
          <w:ilvl w:val="0"/>
          <w:numId w:val="17"/>
        </w:numPr>
        <w:spacing w:line="480" w:lineRule="auto"/>
        <w:jc w:val="both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Характеристика сельского хозяйства …………………………………………………..8</w:t>
      </w:r>
    </w:p>
    <w:p w:rsidR="00710EBD" w:rsidRDefault="00054A29">
      <w:pPr>
        <w:numPr>
          <w:ilvl w:val="0"/>
          <w:numId w:val="17"/>
        </w:numPr>
        <w:spacing w:line="480" w:lineRule="auto"/>
        <w:jc w:val="both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Туризм……………………………………………………………………………………………9</w:t>
      </w:r>
    </w:p>
    <w:p w:rsidR="00710EBD" w:rsidRDefault="00710EBD">
      <w:pPr>
        <w:pStyle w:val="6"/>
        <w:jc w:val="center"/>
        <w:rPr>
          <w:sz w:val="28"/>
        </w:rPr>
        <w:sectPr w:rsidR="00710EBD">
          <w:headerReference w:type="default" r:id="rId10"/>
          <w:footerReference w:type="default" r:id="rId11"/>
          <w:pgSz w:w="11906" w:h="16838" w:code="9"/>
          <w:pgMar w:top="816" w:right="680" w:bottom="1701" w:left="176" w:header="570" w:footer="1113" w:gutter="1134"/>
          <w:cols w:space="720"/>
        </w:sectPr>
      </w:pPr>
    </w:p>
    <w:p w:rsidR="00710EBD" w:rsidRDefault="00710EBD">
      <w:pPr>
        <w:pStyle w:val="6"/>
        <w:jc w:val="center"/>
        <w:rPr>
          <w:sz w:val="32"/>
        </w:rPr>
      </w:pPr>
    </w:p>
    <w:p w:rsidR="00710EBD" w:rsidRDefault="00054A29">
      <w:pPr>
        <w:pStyle w:val="6"/>
        <w:jc w:val="center"/>
        <w:rPr>
          <w:sz w:val="32"/>
        </w:rPr>
      </w:pPr>
      <w:r>
        <w:rPr>
          <w:sz w:val="32"/>
        </w:rPr>
        <w:t>Географическое положение.</w:t>
      </w:r>
    </w:p>
    <w:p w:rsidR="00710EBD" w:rsidRDefault="00710EBD">
      <w:pPr>
        <w:pStyle w:val="6"/>
        <w:rPr>
          <w:sz w:val="32"/>
        </w:rPr>
      </w:pPr>
    </w:p>
    <w:p w:rsidR="00710EBD" w:rsidRDefault="00054A29">
      <w:pPr>
        <w:pStyle w:val="6"/>
        <w:rPr>
          <w:sz w:val="28"/>
        </w:rPr>
      </w:pPr>
      <w:r>
        <w:rPr>
          <w:sz w:val="28"/>
        </w:rPr>
        <w:t>Венгрия- государство в центральной Европе. Столица город Будапешт.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На севере Венгрия граничит с Чехией и Словакией (по реке Дунай). На востоке – имеет общую гр</w:t>
      </w:r>
      <w:r>
        <w:rPr>
          <w:sz w:val="28"/>
        </w:rPr>
        <w:t>а</w:t>
      </w:r>
      <w:r>
        <w:rPr>
          <w:sz w:val="28"/>
        </w:rPr>
        <w:t xml:space="preserve">ницу с Украиной, а также с Румынией. На юге с Югославией, Боснией и Герцеговиной, Хорватией, на западе – с Австрией.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Территория страны – 93 тыс. км</w:t>
      </w:r>
      <w:r>
        <w:rPr>
          <w:sz w:val="28"/>
          <w:vertAlign w:val="superscript"/>
        </w:rPr>
        <w:t xml:space="preserve">2 </w:t>
      </w:r>
      <w:r>
        <w:rPr>
          <w:sz w:val="28"/>
        </w:rPr>
        <w:t>, население 10,6 млн. человек.</w:t>
      </w:r>
    </w:p>
    <w:p w:rsidR="00710EBD" w:rsidRDefault="00710EBD">
      <w:pPr>
        <w:pStyle w:val="6"/>
        <w:rPr>
          <w:i/>
          <w:sz w:val="28"/>
        </w:rPr>
      </w:pPr>
    </w:p>
    <w:p w:rsidR="00710EBD" w:rsidRDefault="00054A29">
      <w:pPr>
        <w:pStyle w:val="6"/>
        <w:rPr>
          <w:sz w:val="28"/>
        </w:rPr>
      </w:pPr>
      <w:r>
        <w:rPr>
          <w:i/>
          <w:sz w:val="28"/>
        </w:rPr>
        <w:t xml:space="preserve">Внутриполитическое </w:t>
      </w:r>
      <w:r>
        <w:rPr>
          <w:sz w:val="28"/>
        </w:rPr>
        <w:t>устройство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Внутриполитическое устройство Венгрии определяется Конституцией, принятой 18 августа 1949 года, с внесенными в неё позже поправками 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Венгерская Республика – независимое демократическое государство, высшим законодательным органом которого является Государственное собрание (парламент). Венгрия – президентская республика. Глава республики избирается сроком на пять лет.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В стане действуют различные партии и общественные организации. Венгерский демократический форум – одна  из наиболее крупных и широко поддерживаемых населением партий. Среди других партий выделяются Союз свободных демократов, Независимая партия мелких хозяев, Венгерская социалистическая партия, Союз молодых демократов, Христианско-демократическая партия.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В административном  отношении Венгрия делится на области. Столица государства – Будапешт - вместе с пятью  другими крупными  городами (Мишкольцем, Дебреценом,  Дьером, Сеидом, Печем) находится в республиканском подчинении. Будапешт играет особую роль в жизни страны. Здесь сосредоточено около 20% населения, выпускается 40% промышленной продукции, в столице расположены органы государственного управления, большинство учебных заведений, театров, музеев.  </w:t>
      </w:r>
    </w:p>
    <w:p w:rsidR="00710EBD" w:rsidRDefault="00710EBD">
      <w:pPr>
        <w:pStyle w:val="6"/>
        <w:rPr>
          <w:i/>
          <w:sz w:val="28"/>
        </w:rPr>
      </w:pPr>
    </w:p>
    <w:p w:rsidR="00710EBD" w:rsidRDefault="00054A29">
      <w:pPr>
        <w:pStyle w:val="6"/>
        <w:rPr>
          <w:i/>
          <w:sz w:val="28"/>
        </w:rPr>
      </w:pPr>
      <w:r>
        <w:rPr>
          <w:i/>
          <w:sz w:val="28"/>
        </w:rPr>
        <w:t>Рельеф.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Венгрия расположена на Среднедунайской низменности. Страна занимает около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2/3</w:t>
      </w:r>
      <w:r>
        <w:rPr>
          <w:snapToGrid w:val="0"/>
          <w:sz w:val="28"/>
        </w:rPr>
        <w:t xml:space="preserve">  территории этого крупного тектонического понижения, окруженного горами. Цепи горных хребтов защищают ее от ветров.</w:t>
      </w:r>
      <w:r>
        <w:rPr>
          <w:sz w:val="28"/>
        </w:rPr>
        <w:t xml:space="preserve"> На западе к границам республики подступают отроги Альп. С севера и востока её окаймляют массивы Карпат.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Рельеф страны определяет  слабовсхолмленные, обширные равнины бассейна среднего течения Дуная, а также его крупных притоков Тисы , Дравы. Древние поймы этих рек, покрытые мощным слоем песчаных и лёссовых отложений, занимают  около 70% территории Венгрии. Почти вся остальная часть страны приходится на холмистые районы и небольшие возвышенности высотой от 200 до 400 метров над уровнем моря. Горы составляют меньше 1% территорий.</w:t>
      </w:r>
      <w:r>
        <w:rPr>
          <w:rFonts w:ascii="Times New Roman" w:hAnsi="Times New Roman"/>
          <w:snapToGrid w:val="0"/>
          <w:sz w:val="28"/>
        </w:rPr>
        <w:t xml:space="preserve"> </w:t>
      </w:r>
      <w:r>
        <w:rPr>
          <w:snapToGrid w:val="0"/>
          <w:sz w:val="28"/>
        </w:rPr>
        <w:t>Высшая точка Венгрии — гора Кекеш, 1015 м.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В Венгрии протекают 2 крупные реки — Дунай (венгерские притоки имеют Альпийское происхождение), Тиса (течет с севера на юг и затем на юг в Балканы).</w:t>
      </w:r>
    </w:p>
    <w:p w:rsidR="00710EBD" w:rsidRDefault="00710EBD">
      <w:pPr>
        <w:pStyle w:val="6"/>
        <w:rPr>
          <w:sz w:val="28"/>
        </w:rPr>
      </w:pPr>
    </w:p>
    <w:p w:rsidR="00710EBD" w:rsidRDefault="00054A29">
      <w:pPr>
        <w:pStyle w:val="6"/>
        <w:rPr>
          <w:i/>
          <w:sz w:val="28"/>
        </w:rPr>
      </w:pPr>
      <w:r>
        <w:rPr>
          <w:sz w:val="28"/>
        </w:rPr>
        <w:t xml:space="preserve">    </w:t>
      </w:r>
      <w:r>
        <w:rPr>
          <w:i/>
          <w:sz w:val="28"/>
        </w:rPr>
        <w:t>Климат.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Страна находится в южной части умеренного пояса. Климат здесь умеренно-континентальный. На него оказывают воздействие различные по своему характеру  воздушные массы, формирующиеся над Северной Атлантикой, Средиземноморьем, а также над континентальной частью Евразии.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z w:val="28"/>
        </w:rPr>
        <w:t xml:space="preserve">В конце весны, летом и осенью, значительно возрастает погодно-климатическая роль воздушных масс Средиземноморья, что связано с усиливающимся в летние месяцы воздействием Азорского антициклона. Этим объясняются характерные для </w:t>
      </w:r>
      <w:r>
        <w:rPr>
          <w:snapToGrid w:val="0"/>
          <w:sz w:val="28"/>
        </w:rPr>
        <w:t>Венгрии жаркая погода, начинающаяся с конца апреля, выпадение дождей в мае-июне, а также продолжительный теплый и мягкий осенний период.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Среднегодовая температура воздуха составляет  9-11 градусов.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Летом в Венгрии почти всегда жарко, средняя температура июля-21 градус. Зима короткая и сравнительно теплая. Средняя температура января – минус 1 градус. Для Венгрии характерны продолжительные и очень тёплые весна и осень. </w:t>
      </w:r>
    </w:p>
    <w:p w:rsidR="00710EBD" w:rsidRDefault="00054A29">
      <w:pPr>
        <w:pStyle w:val="6"/>
        <w:rPr>
          <w:sz w:val="28"/>
        </w:rPr>
      </w:pPr>
      <w:r>
        <w:rPr>
          <w:snapToGrid w:val="0"/>
          <w:sz w:val="28"/>
        </w:rPr>
        <w:t>В среднем на территории страны выпадает в течение года около 600 мм осадков. Осадки распределяются по территории неравномерно. В районах Альфёльда их количество не превышает 50 мм в год, а на западе, близ массивов Баконь, Пилим и Матра – количество осадков достигает 900 – 1000 мм. Нередко случаются кратковременные засухи.</w:t>
      </w:r>
    </w:p>
    <w:p w:rsidR="00710EBD" w:rsidRDefault="00710EBD">
      <w:pPr>
        <w:pStyle w:val="6"/>
      </w:pPr>
    </w:p>
    <w:p w:rsidR="00710EBD" w:rsidRDefault="00710EBD">
      <w:pPr>
        <w:pStyle w:val="6"/>
      </w:pPr>
    </w:p>
    <w:p w:rsidR="00710EBD" w:rsidRDefault="00054A29">
      <w:pPr>
        <w:pStyle w:val="6"/>
        <w:jc w:val="center"/>
        <w:rPr>
          <w:sz w:val="32"/>
        </w:rPr>
      </w:pPr>
      <w:r>
        <w:rPr>
          <w:sz w:val="28"/>
        </w:rPr>
        <w:br w:type="page"/>
      </w:r>
      <w:r>
        <w:rPr>
          <w:sz w:val="32"/>
        </w:rPr>
        <w:t>Природные ресурсы.</w:t>
      </w:r>
    </w:p>
    <w:p w:rsidR="00710EBD" w:rsidRDefault="00710EBD">
      <w:pPr>
        <w:pStyle w:val="6"/>
        <w:rPr>
          <w:i/>
          <w:sz w:val="26"/>
        </w:rPr>
      </w:pPr>
    </w:p>
    <w:p w:rsidR="00710EBD" w:rsidRDefault="00054A29">
      <w:pPr>
        <w:pStyle w:val="6"/>
        <w:rPr>
          <w:i/>
          <w:sz w:val="28"/>
        </w:rPr>
      </w:pPr>
      <w:r>
        <w:rPr>
          <w:i/>
          <w:sz w:val="28"/>
        </w:rPr>
        <w:t>Водные ресурсы.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Венгрия целиком расположена в бассейне Дуная, второй по величине после Волги европейской реки. Его протяженность 2850 км. Длина участка русла протекающего по территории Венгрии-410 км. В Дунай впадает большинство рек страны, в том числе Тиса, из общей протяженности которой в 960 км. почти 600 км. лежит в границах Венгрии. Все эти реки берут начало в Альпах или Карпатах.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Горное происхождение рек обуславливает особенности их режима. Для Дуная характерны два паводка: весенний - в период таяния снега, и летний – во время таяния ледников в горах. Уменьшение числа стока приходится на октябрь- декабрь. Амплитуда колебания уровня воды в реках значительна, так разница между самым высоким и самым низким уровнем воды, отмечавшимся в Дунае в районе Будапешта, достигает почти 9 метров. Значительные территории, расположенные вдоль Тисы, подвергались угрозе наводнений. Проведенные гидростроительные работы позволили отрегулировать сток этой реки и исключить возможность её выхода из берегов, что обеспечило стабильное судоходство.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В Венгрии находится самое большое озеро Центральной Европы - Балатон. Площадь его поверхности составляет 600 км</w:t>
      </w:r>
      <w:r>
        <w:rPr>
          <w:sz w:val="28"/>
          <w:vertAlign w:val="superscript"/>
        </w:rPr>
        <w:t xml:space="preserve">2 </w:t>
      </w:r>
      <w:r>
        <w:rPr>
          <w:sz w:val="28"/>
        </w:rPr>
        <w:t xml:space="preserve">, длина – 78 км, ширина – 15 км . Озеро и его окрестности превратились в курортно – туристический район международного значения.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В стране довольно много небольших озер, особенно в междуречье Тисы и Дуная. Они окружены зонами отдыха. Озёра используются и для разведения рыбы. Венгрия очень богата подземными водами, термальными и лечебными источниками. Запасы подземных вод встречаются почти на всей территории страны и сосредоточены под её равнинными частями, залегая на глубине от 500 до 1500 м. Температура водных слоёв  от 30 до 80 градусов. В последнее время подземные источники всё чаще используются для снабжения населенных пунктов чистой водой.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Из геологических разломов, протянувшихся  с севера на юг в срединной части страны, к поверхности земли пробиваются многочисленные крупные и мелкие потоки минеральных и лечебных  термальных вод. Ежедневный приток воды  из всех источников  достигает 70 млн. литров. Благодаря этому, в расчете на  душу населения Венгрия оказывается  наиболее богатой минеральными и лечебными водами страной в Европе. Самые крупные и известные водолечебные  курорты  расположены в районе Балатона, в Будапеште, близ Мишкольца и в Альфёльде. </w:t>
      </w:r>
    </w:p>
    <w:p w:rsidR="00710EBD" w:rsidRDefault="00710EBD">
      <w:pPr>
        <w:pStyle w:val="6"/>
        <w:rPr>
          <w:i/>
          <w:sz w:val="28"/>
        </w:rPr>
      </w:pPr>
    </w:p>
    <w:p w:rsidR="00710EBD" w:rsidRDefault="00054A29">
      <w:pPr>
        <w:pStyle w:val="6"/>
        <w:rPr>
          <w:sz w:val="28"/>
        </w:rPr>
      </w:pPr>
      <w:r>
        <w:rPr>
          <w:i/>
          <w:sz w:val="28"/>
        </w:rPr>
        <w:t>Минеральные ресурсы.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Венгрия  не отличается богатством полезных ископаемых. В стране нет крупных запасов железной руды, каменного угля или нефти,  довольно ограничены запасы многих других видов  сырья.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Основные месторождения полезных ископаемых расположены, главным образом, в холмистых и горных районах и связаны с альпийской складчатостью.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Топливно-энергетические  ресурсы  представлены в Венгрии  месторождениями угля, природного газа и нефти. Общие геологические запасы угля оцениваются на сегодняшний день  почти в 9 млрд. т. Качество и теплотворная способность угля  невысоки. Из всех запасов более 60% приходится на лигнит, примерно 25% - на бурый и лишь 15% - на каменный уголь. Значительная часть годных к разработке месторождений  отличается  неблагоприятными условиями: весьма ограниченной мощностью пластов, их косым залеганием,  раздробленностью. Поэтому  в угольной промышленности в последнее время  сворачивается добыча  на мелких и даже средних низкорентабельных шахтах, и одновременно осваиваются  крупные месторождения бурого угля и лигнита в тех местах, где возможна их   открытая разработка. Запасы каменного угля сосредоточены в горах Мечек. Уголь, залегающий в районе Комоло, относится к категории коксующегося.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Запасы газа и нефти невелики по размерам.  Они сосредоточены в отложениях мелового и юрского периодов, в межгорных прогибах разной величины. В начале нынешнего века были обнаружены  месторождения нефти в предгорьях массива Бюкк, где незначительные по размерам пласты залегали в вулканических туфах. За несколько лет добычи  они были полностью выработаны.  Более крупные месторождения нефти были открыты позднее к юго-западу от Балатона, в области Зана. Их разработка началась в конце 30-х годов и на протяжении двух с половиной десятилетий велась довольно интенсивно. К настоящему времени запасы здесь также в значительной степени исчерпаны.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В 50-60-х годах  в Венгрии начата разработка альфёльдских месторождений нефти, которые оказались одними из наиболее крупных в стране и позволили сохранить размер добычи на достигнутом уровне, а впоследствии даже несколько превысить его. Запасы нефти найдены, главным образом, а центральных и южных районах Альфёльда. Пласты здесь расположены один под другим. Они находятся на глубине до 3-4 тысяч метров и отличаются сравнительно невысоким давлением.          В настоящее время  в стране ведется разведка прогнозируемых запасов нефти на глубине 6-9 тыс. м.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Месторождения природного газа в Венгрии более значительны. Они расположены примерно в тех же районах, где и нефтяные. Наиболее крупные запасы обнаружены в Альфёльдской  провинции. За последнее десятилетие из разведанных здесь ресурсов углеводородного топлива более ¾ приходится на газ.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Имеющиеся в стране запасы природного газа  отличаются низким содержанием  серы, что значительно облегчает его переработку  и использование. Однако теплотворная способность  добываемого газа весьма  неравномерна: она колеблется в зависимости от месторождения от  2,5 до 11 тыс. ккал/м</w:t>
      </w:r>
      <w:r>
        <w:rPr>
          <w:sz w:val="28"/>
          <w:vertAlign w:val="superscript"/>
        </w:rPr>
        <w:t>3</w:t>
      </w:r>
      <w:r>
        <w:rPr>
          <w:sz w:val="28"/>
        </w:rPr>
        <w:t>.В обнаруженных в последнее время  запасах высока доля инертных газов, часть которых также используется.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Единственные в стране залежи железной руды расположены на северо-востоке, в районе поселка Рудобаня. Среднее содержание железа в руде здесь составляет менее 30 %.Поэтому добыча ее постоянно сокращалась, а во второй половине 50-х  полностью прекращена.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Имеющиеся в Венгрии запасы марганцевой руды по величине занимают третье место в Европе. Залежи марганцевых руд расположены в горах Баконь, в районе Уркута, где их добывается 90-95 %.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Венгрия располагает одним из самых значительных в Европе  месторождений бокситов. Основные залежи бокситов находятся в Дунантуле, севернее Балатона -в горах Баконь и Вертеш. Наиболее крупные месторождения занимают  площадь в несколько квадратных километров, мощность слоев колеблется от 2 до 30 метров.   Общие запасы оцениваются более чем в 100 млн. т. Примерно 45%из них имеют среднее и высокое качество. Венгрия занимает шестое место в мире  по добыче бокситов.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В горах Бёржёнь,  Матра и Земплен есть небольшие залежи полиметаллических руд, содержащих олово, свинец, молибден.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Важное значение имеют обнаруженные в Венгрии урановые руды. Их месторождения открыты на юге страны, недалеко от города Печ. Урановая руда здесь залегает на глубине до 1 тыс. метров. Этих запасов достаточно для того, чтобы обеспечить топливом атомные электростанции суммарной мощностью около 400 МВт.</w:t>
      </w:r>
    </w:p>
    <w:p w:rsidR="00710EBD" w:rsidRDefault="00054A29">
      <w:pPr>
        <w:pStyle w:val="6"/>
      </w:pPr>
      <w:r>
        <w:rPr>
          <w:sz w:val="28"/>
        </w:rPr>
        <w:t>Венгрия хорошо обеспечена сырьем для производства строительных материалов.   Это известняки, песок, строительный камень, каолин, перлит, кварциты. В то же время в стране отсутствуют другие виды полезных ископаемых, нет запасов пород, содержащих калий, фосфор, серу, и использующихся в производстве минеральных удобрений.</w:t>
      </w:r>
      <w:r>
        <w:t xml:space="preserve">  </w:t>
      </w:r>
    </w:p>
    <w:p w:rsidR="00710EBD" w:rsidRDefault="00710EBD">
      <w:pPr>
        <w:pStyle w:val="6"/>
      </w:pPr>
    </w:p>
    <w:p w:rsidR="00710EBD" w:rsidRDefault="00710EBD">
      <w:pPr>
        <w:pStyle w:val="6"/>
        <w:jc w:val="center"/>
        <w:rPr>
          <w:sz w:val="28"/>
        </w:rPr>
        <w:sectPr w:rsidR="00710EBD">
          <w:type w:val="continuous"/>
          <w:pgSz w:w="11906" w:h="16838" w:code="9"/>
          <w:pgMar w:top="816" w:right="680" w:bottom="1701" w:left="176" w:header="570" w:footer="1113" w:gutter="1134"/>
          <w:cols w:space="720"/>
        </w:sectPr>
      </w:pPr>
    </w:p>
    <w:p w:rsidR="00710EBD" w:rsidRDefault="00054A29">
      <w:pPr>
        <w:pStyle w:val="6"/>
        <w:jc w:val="center"/>
        <w:rPr>
          <w:sz w:val="32"/>
        </w:rPr>
      </w:pPr>
      <w:r>
        <w:rPr>
          <w:sz w:val="32"/>
        </w:rPr>
        <w:t>Население.</w:t>
      </w:r>
    </w:p>
    <w:p w:rsidR="00710EBD" w:rsidRDefault="00710EBD">
      <w:pPr>
        <w:pStyle w:val="6"/>
      </w:pPr>
    </w:p>
    <w:p w:rsidR="00710EBD" w:rsidRDefault="00054A29">
      <w:pPr>
        <w:pStyle w:val="6"/>
        <w:rPr>
          <w:sz w:val="28"/>
        </w:rPr>
      </w:pPr>
      <w:r>
        <w:rPr>
          <w:sz w:val="28"/>
        </w:rPr>
        <w:t>Численность  населения Венгрии составляет 10,6 млн. человек (данные 1994 года). В Европе по количеству жителей страна занимает 14-е место. Средняя плотность населения составляет 115 человек на 1 км</w:t>
      </w:r>
      <w:r>
        <w:rPr>
          <w:sz w:val="28"/>
          <w:vertAlign w:val="superscript"/>
        </w:rPr>
        <w:t xml:space="preserve">2 </w:t>
      </w:r>
      <w:r>
        <w:rPr>
          <w:sz w:val="28"/>
        </w:rPr>
        <w:t xml:space="preserve">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Государственный язык — венгерский, принадлежащий к угорской ветви финно-угорской языковой семьи. На нем говорят 97% населения. Немцы и словаки составляют самые большие этнические меньшинства. Меньшим числом обладают южные славяне (главным образом хорваты и сербы) и Румыны.  Верующие преимущественно католики (64%) и протестанты (23%).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До </w:t>
      </w:r>
      <w:r>
        <w:rPr>
          <w:sz w:val="28"/>
          <w:lang w:val="en-US"/>
        </w:rPr>
        <w:t>II</w:t>
      </w:r>
      <w:r>
        <w:rPr>
          <w:sz w:val="28"/>
        </w:rPr>
        <w:t xml:space="preserve"> мировой войны Венгрия представляла собой аграрную страну. Доля сельскохозяйственного населения была выше 70%. С конца 40-х годов, в ходе развития индустриализации, удельный вес сельских жителей все более сокращался. В настоящее время он составляет около 40%.  Приблизительно 1/5 населения страны живет в пределах столичной области - Будапешта.. Самый большой город после Будапешта – Мишкольц – уступает ему по численности населения почти в 10 раз. Крупные города: Дебрецен, Сегед, Печ, Дьёр, Секешфекервар 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В 90-х годах показатель смертности превысил коэффициент рождаемости, естественный прирост, таким образом, был отрицательным. Население Венгрии стареет, почти 1/5 населения - в возрасте 60 лет и выше. Однако в дальнейшем прогнозируется благоприятное изменение демографической ситуации.</w:t>
      </w:r>
    </w:p>
    <w:p w:rsidR="00710EBD" w:rsidRDefault="00710EBD">
      <w:pPr>
        <w:pStyle w:val="6"/>
        <w:rPr>
          <w:sz w:val="28"/>
        </w:rPr>
      </w:pPr>
    </w:p>
    <w:p w:rsidR="00710EBD" w:rsidRDefault="00710EBD">
      <w:pPr>
        <w:pStyle w:val="6"/>
      </w:pPr>
    </w:p>
    <w:p w:rsidR="00710EBD" w:rsidRDefault="00710EBD">
      <w:pPr>
        <w:pStyle w:val="6"/>
      </w:pPr>
    </w:p>
    <w:p w:rsidR="00710EBD" w:rsidRDefault="00710EBD">
      <w:pPr>
        <w:pStyle w:val="6"/>
      </w:pPr>
    </w:p>
    <w:p w:rsidR="00710EBD" w:rsidRDefault="00054A29">
      <w:pPr>
        <w:pStyle w:val="6"/>
        <w:jc w:val="center"/>
        <w:rPr>
          <w:sz w:val="32"/>
        </w:rPr>
      </w:pPr>
      <w:r>
        <w:rPr>
          <w:sz w:val="28"/>
        </w:rPr>
        <w:br w:type="page"/>
      </w:r>
      <w:r>
        <w:rPr>
          <w:sz w:val="32"/>
        </w:rPr>
        <w:t>Особенности хозяйства.</w:t>
      </w:r>
    </w:p>
    <w:p w:rsidR="00710EBD" w:rsidRDefault="00710EBD">
      <w:pPr>
        <w:pStyle w:val="6"/>
        <w:rPr>
          <w:snapToGrid w:val="0"/>
        </w:rPr>
      </w:pP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 xml:space="preserve">Венгрия — индустриально-аграрная страна. Доля в национальном доходе (данные 1993 года) промышленность-46,6%, сельское и лесное хозяйство-17,7%, строительство-11,2%, транспорт и связи-9%, торговли, материально технического снабжения, заготовок-14%. </w:t>
      </w:r>
    </w:p>
    <w:p w:rsidR="00710EBD" w:rsidRDefault="00054A29">
      <w:pPr>
        <w:pStyle w:val="6"/>
        <w:rPr>
          <w:sz w:val="28"/>
        </w:rPr>
      </w:pPr>
      <w:r>
        <w:rPr>
          <w:sz w:val="28"/>
        </w:rPr>
        <w:t>Уровень экономического развития.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 xml:space="preserve">Общий уровень экономического развития Венгрии составляет около 35-40% по сравнению с США и приблизительно соответствует уровню таких европейских стран, как Португалия, Греция и Ирландия. 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В системе международного разделения труда Венгрия выступает как поставщик продукции машиностроения ( главным образом автобусов, деталей и узлов к ним , портальных и плавучих кранов ,средств связи, медицинской аппаратуры ), химической промышленности (в т. ч. фармацевтических препаратов, средств защиты растений), сельскохозяйственных и пищевых продуктов .</w:t>
      </w:r>
    </w:p>
    <w:p w:rsidR="00710EBD" w:rsidRDefault="00710EBD">
      <w:pPr>
        <w:pStyle w:val="6"/>
        <w:rPr>
          <w:i/>
          <w:snapToGrid w:val="0"/>
          <w:sz w:val="28"/>
        </w:rPr>
      </w:pPr>
    </w:p>
    <w:p w:rsidR="00710EBD" w:rsidRDefault="00054A29">
      <w:pPr>
        <w:pStyle w:val="6"/>
        <w:rPr>
          <w:i/>
          <w:snapToGrid w:val="0"/>
          <w:sz w:val="28"/>
        </w:rPr>
      </w:pPr>
      <w:r>
        <w:rPr>
          <w:i/>
          <w:snapToGrid w:val="0"/>
          <w:sz w:val="28"/>
        </w:rPr>
        <w:t>Характеристика промышленности.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В топливно-энергетических ресурсах преобладает уголь, главным образом бурый, и лигниты (добыча 14,3 млн. т. в 1993 г. в районе городов Татабанья, Дорог, Шалгатарьян, Дьендьёш, Озд, Мишкольц); каменный уголь добывают в горах Мечек. Добывают бокситы (1,5 млн. т. ), марганцевую руду, нефть (2 млн. т.), газ (7,1 млрд. м.</w:t>
      </w:r>
      <w:r>
        <w:rPr>
          <w:snapToGrid w:val="0"/>
          <w:sz w:val="28"/>
          <w:vertAlign w:val="superscript"/>
        </w:rPr>
        <w:t>3</w:t>
      </w:r>
      <w:r>
        <w:rPr>
          <w:snapToGrid w:val="0"/>
          <w:sz w:val="28"/>
        </w:rPr>
        <w:t xml:space="preserve"> ). Производство электроэнергии 32,5 млрд. квт-ч. (1993), главным образом на тепловых электростанциях.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Черная и цветная металлургия (выплавка стали 3,64 млн. т. – Озд, Дунайварш,  Диошдьёр; алюминиевая – 27,8 тыс. т. – Инота, Татабанья).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 xml:space="preserve">Ведущая отрасль обрабатывающей промышленности – машиностроение, в том числе: </w:t>
      </w:r>
    </w:p>
    <w:p w:rsidR="00710EBD" w:rsidRDefault="00054A29">
      <w:pPr>
        <w:pStyle w:val="6"/>
        <w:numPr>
          <w:ilvl w:val="0"/>
          <w:numId w:val="10"/>
        </w:numPr>
        <w:tabs>
          <w:tab w:val="clear" w:pos="360"/>
          <w:tab w:val="num" w:pos="218"/>
        </w:tabs>
        <w:ind w:left="218"/>
        <w:rPr>
          <w:snapToGrid w:val="0"/>
          <w:sz w:val="28"/>
        </w:rPr>
      </w:pPr>
      <w:r>
        <w:rPr>
          <w:snapToGrid w:val="0"/>
          <w:sz w:val="28"/>
        </w:rPr>
        <w:t xml:space="preserve">автомобилестроение (завод «Икарус» в Будапеште и Секешфехерваре - крупнейший в Европе производитель автобусов). </w:t>
      </w:r>
    </w:p>
    <w:p w:rsidR="00710EBD" w:rsidRDefault="00054A29">
      <w:pPr>
        <w:pStyle w:val="6"/>
        <w:numPr>
          <w:ilvl w:val="0"/>
          <w:numId w:val="11"/>
        </w:numPr>
        <w:tabs>
          <w:tab w:val="clear" w:pos="360"/>
          <w:tab w:val="num" w:pos="218"/>
        </w:tabs>
        <w:ind w:left="218"/>
        <w:rPr>
          <w:snapToGrid w:val="0"/>
          <w:sz w:val="28"/>
        </w:rPr>
      </w:pPr>
      <w:r>
        <w:rPr>
          <w:snapToGrid w:val="0"/>
          <w:sz w:val="28"/>
        </w:rPr>
        <w:t xml:space="preserve">Производство локомотивов, судов, кранов. </w:t>
      </w:r>
    </w:p>
    <w:p w:rsidR="00710EBD" w:rsidRDefault="00054A29">
      <w:pPr>
        <w:pStyle w:val="6"/>
        <w:numPr>
          <w:ilvl w:val="0"/>
          <w:numId w:val="12"/>
        </w:numPr>
        <w:tabs>
          <w:tab w:val="clear" w:pos="360"/>
          <w:tab w:val="num" w:pos="218"/>
        </w:tabs>
        <w:ind w:left="218"/>
        <w:rPr>
          <w:snapToGrid w:val="0"/>
          <w:sz w:val="28"/>
        </w:rPr>
      </w:pPr>
      <w:r>
        <w:rPr>
          <w:snapToGrid w:val="0"/>
          <w:sz w:val="28"/>
        </w:rPr>
        <w:t>Электротехническая и  радиоэлектронная промышленность (в т.ч. производство средств  связи, вычислительной техники, медицинского оборудования и приборов (Будапешт, Секешфехервар)).</w:t>
      </w:r>
    </w:p>
    <w:p w:rsidR="00710EBD" w:rsidRDefault="00054A29">
      <w:pPr>
        <w:pStyle w:val="6"/>
        <w:numPr>
          <w:ilvl w:val="0"/>
          <w:numId w:val="13"/>
        </w:numPr>
        <w:tabs>
          <w:tab w:val="clear" w:pos="360"/>
          <w:tab w:val="num" w:pos="218"/>
        </w:tabs>
        <w:ind w:left="218"/>
        <w:rPr>
          <w:snapToGrid w:val="0"/>
          <w:sz w:val="28"/>
        </w:rPr>
      </w:pPr>
      <w:r>
        <w:rPr>
          <w:snapToGrid w:val="0"/>
          <w:sz w:val="28"/>
        </w:rPr>
        <w:t xml:space="preserve">Станкостроение  (Будапешт, Мишкольц, Эстергом). </w:t>
      </w:r>
    </w:p>
    <w:p w:rsidR="00710EBD" w:rsidRDefault="00054A29">
      <w:pPr>
        <w:pStyle w:val="6"/>
        <w:numPr>
          <w:ilvl w:val="0"/>
          <w:numId w:val="14"/>
        </w:numPr>
        <w:tabs>
          <w:tab w:val="clear" w:pos="360"/>
          <w:tab w:val="num" w:pos="218"/>
        </w:tabs>
        <w:ind w:left="218"/>
        <w:rPr>
          <w:snapToGrid w:val="0"/>
          <w:sz w:val="28"/>
        </w:rPr>
      </w:pPr>
      <w:r>
        <w:rPr>
          <w:snapToGrid w:val="0"/>
          <w:sz w:val="28"/>
        </w:rPr>
        <w:t>Производство сельскохозяйственных машин и оборудования для легкой и пищевой промышленности.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В химической промышленности важное место занимает производство минеральных удобрений, средств защиты растений, продуктов органического синтеза, фармацевтических препаратов; развивается резиновая промышленность.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 xml:space="preserve">Значительна пищевкусовая промышленность: крупные мясомолочные и консервные предприятия. 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Из отраслей легкой промышленности наиболее развиты швейная, кожевенно-обувная, трикотажная.</w:t>
      </w:r>
    </w:p>
    <w:p w:rsidR="00710EBD" w:rsidRDefault="00710EBD">
      <w:pPr>
        <w:pStyle w:val="6"/>
        <w:rPr>
          <w:snapToGrid w:val="0"/>
          <w:sz w:val="28"/>
        </w:rPr>
      </w:pPr>
    </w:p>
    <w:p w:rsidR="00710EBD" w:rsidRDefault="00054A29">
      <w:pPr>
        <w:pStyle w:val="6"/>
        <w:rPr>
          <w:i/>
          <w:snapToGrid w:val="0"/>
          <w:sz w:val="28"/>
        </w:rPr>
      </w:pPr>
      <w:r>
        <w:rPr>
          <w:snapToGrid w:val="0"/>
          <w:sz w:val="28"/>
        </w:rPr>
        <w:t xml:space="preserve"> </w:t>
      </w:r>
      <w:r>
        <w:rPr>
          <w:i/>
          <w:snapToGrid w:val="0"/>
          <w:sz w:val="28"/>
        </w:rPr>
        <w:t>Характеристика сельского хозяйства.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 xml:space="preserve">Почвы Венгрии в целом плодородны и благоприятны для развития сельского хозяйства, но по своему составу и плодородию сильно различаются. Господствующий тип - каштановые и подзолистые почвы , которые покрывают 2/5 территории страны. Они распространены, главным образом, в Дунантуле, а также в гористых районах. На западе Венгрии, где выпадает больше осадков, встречаются преимущественно подзолистые и кислые почвы. Около 25% площади Венгрии занято черноземами. Эти почвы распространены в значительной части Альфельда. Венгерские чернозёмы отличают мощный гумусовый горизонт, слабая щелочная реакция, высокое плодородие. 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В составе сельскохозяйственных угодий (6,5 млн. га. –75% территории страны): пашня-77% , луга и пастбищя-19%.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 xml:space="preserve">В структуре сельскохозяйственного производства доля растениеводства и животноводства примерно равны. 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Под зерновыми и зерно бобовыми занято 62,6% посевной площади, под техническими – 13%, под овощами- 2,9 %,  под кормовыми – 19,1%.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Основные продовольственные культуры  (сбор в млн. т. 1993г.):</w:t>
      </w:r>
    </w:p>
    <w:p w:rsidR="00710EBD" w:rsidRDefault="00054A29">
      <w:pPr>
        <w:pStyle w:val="6"/>
        <w:numPr>
          <w:ilvl w:val="0"/>
          <w:numId w:val="7"/>
        </w:numPr>
        <w:tabs>
          <w:tab w:val="clear" w:pos="360"/>
          <w:tab w:val="num" w:pos="218"/>
        </w:tabs>
        <w:ind w:left="218"/>
        <w:rPr>
          <w:snapToGrid w:val="0"/>
          <w:sz w:val="28"/>
        </w:rPr>
      </w:pPr>
      <w:r>
        <w:rPr>
          <w:snapToGrid w:val="0"/>
          <w:sz w:val="28"/>
        </w:rPr>
        <w:t xml:space="preserve">Пшеница - 6,6 </w:t>
      </w:r>
    </w:p>
    <w:p w:rsidR="00710EBD" w:rsidRDefault="00054A29">
      <w:pPr>
        <w:pStyle w:val="6"/>
        <w:numPr>
          <w:ilvl w:val="0"/>
          <w:numId w:val="8"/>
        </w:numPr>
        <w:tabs>
          <w:tab w:val="clear" w:pos="360"/>
          <w:tab w:val="num" w:pos="218"/>
        </w:tabs>
        <w:ind w:left="218"/>
        <w:rPr>
          <w:sz w:val="28"/>
        </w:rPr>
      </w:pPr>
      <w:r>
        <w:rPr>
          <w:sz w:val="28"/>
        </w:rPr>
        <w:t xml:space="preserve">Кукуруза 6,8 </w:t>
      </w:r>
    </w:p>
    <w:p w:rsidR="00710EBD" w:rsidRDefault="00054A29">
      <w:pPr>
        <w:pStyle w:val="6"/>
        <w:numPr>
          <w:ilvl w:val="0"/>
          <w:numId w:val="9"/>
        </w:numPr>
        <w:tabs>
          <w:tab w:val="clear" w:pos="360"/>
          <w:tab w:val="num" w:pos="218"/>
        </w:tabs>
        <w:ind w:left="218"/>
        <w:rPr>
          <w:sz w:val="28"/>
        </w:rPr>
      </w:pPr>
      <w:r>
        <w:rPr>
          <w:sz w:val="28"/>
        </w:rPr>
        <w:t>Технические (сахарная свекла, подсолнечник)- 4,1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Плодоводство, виноградарство, овощеводство –получили своё развитее, главным образом, в междуречье Дуная и Тисы и по побережью озера Балатон.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В животноводстве наиболее развиты свиноводство и птицеводство. Венгрия – крупный экспортер кур, гусей, уток, индеек.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 xml:space="preserve"> </w:t>
      </w:r>
    </w:p>
    <w:p w:rsidR="00710EBD" w:rsidRDefault="00054A29">
      <w:pPr>
        <w:pStyle w:val="6"/>
        <w:rPr>
          <w:i/>
          <w:snapToGrid w:val="0"/>
          <w:sz w:val="28"/>
        </w:rPr>
      </w:pPr>
      <w:r>
        <w:rPr>
          <w:i/>
          <w:snapToGrid w:val="0"/>
          <w:sz w:val="28"/>
        </w:rPr>
        <w:t>Туризм.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 xml:space="preserve">Туризм - важный источник иностранного обмена. Ежегодно Венгрию посещает около 30 млн. человек. Потребностями возрастающего иностранного туризма вызвано осуществление перспективного плана развития сети гостиниц и кемпингов. Одним из наиболее привлекательных для туристов мест является Будапешт, один из самых красивых городов мира. Гордость Будапешта – прекрасные архитектурные памятники средневековья, 18-19 в.в. Символом Будапешта стало построенное в начале нынешнего века великолепное здание парламента. Всемирной известность пользуется коллекции будапештских музеев. На территории Венгерской столицы имеются 123 горячих целебных источника, на которых расположены купальни, турецкие бани, бассейны, водолечебницы.  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 xml:space="preserve">Одна из самых больших достопримечательностей Венгрии – озеро Балатон. На Балатоне множество санаториев, домов отдыха, гостиниц, ресторанов.  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 xml:space="preserve">К северу от Балатон расположена «столица» горного района Баконь – город Веспрем, известный архитектурными ансамблями в стиле барокко. 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 xml:space="preserve">К числу наиболее посещаемых городов принадлежит Эгер, прославившийся героической обороной его крепости от нашествия 150- тысячной турецкой армии в 1552 году. </w:t>
      </w:r>
    </w:p>
    <w:p w:rsidR="00710EBD" w:rsidRDefault="00054A29">
      <w:pPr>
        <w:pStyle w:val="6"/>
        <w:rPr>
          <w:snapToGrid w:val="0"/>
          <w:sz w:val="28"/>
        </w:rPr>
      </w:pPr>
      <w:r>
        <w:rPr>
          <w:snapToGrid w:val="0"/>
          <w:sz w:val="28"/>
        </w:rPr>
        <w:t>Богатством памятников архитектуры отличаются, горда западной и северо-западной Венгрии: Дьёр, Шопрон, Кёсег, Сомбатхей, на территории которого была некогда столица римской провинции Верхняя Паннония-Савария.</w:t>
      </w:r>
    </w:p>
    <w:p w:rsidR="00710EBD" w:rsidRDefault="00710EBD">
      <w:pPr>
        <w:pStyle w:val="6"/>
        <w:rPr>
          <w:snapToGrid w:val="0"/>
          <w:sz w:val="28"/>
        </w:rPr>
      </w:pPr>
    </w:p>
    <w:p w:rsidR="00710EBD" w:rsidRDefault="00054A29">
      <w:pPr>
        <w:pStyle w:val="6"/>
        <w:rPr>
          <w:sz w:val="28"/>
        </w:rPr>
      </w:pPr>
      <w:r>
        <w:rPr>
          <w:sz w:val="28"/>
        </w:rPr>
        <w:t xml:space="preserve">Венгрия- страна в центре Европы, с огромным культурным населением, с богатой историей, интересной не только природными условиями, но и людьми в ней проживающими. </w:t>
      </w:r>
    </w:p>
    <w:p w:rsidR="00710EBD" w:rsidRDefault="00710EBD">
      <w:pPr>
        <w:pStyle w:val="6"/>
        <w:rPr>
          <w:snapToGrid w:val="0"/>
          <w:color w:val="000000"/>
        </w:rPr>
      </w:pPr>
    </w:p>
    <w:p w:rsidR="00710EBD" w:rsidRDefault="00710EBD">
      <w:pPr>
        <w:spacing w:line="480" w:lineRule="auto"/>
        <w:jc w:val="center"/>
        <w:rPr>
          <w:rFonts w:ascii="Bookman Old Style" w:hAnsi="Bookman Old Style"/>
          <w:sz w:val="28"/>
        </w:rPr>
      </w:pPr>
    </w:p>
    <w:p w:rsidR="00710EBD" w:rsidRDefault="00054A29">
      <w:pPr>
        <w:spacing w:line="480" w:lineRule="auto"/>
        <w:jc w:val="center"/>
        <w:rPr>
          <w:rFonts w:ascii="Bookman Old Style" w:hAnsi="Bookman Old Style"/>
          <w:sz w:val="28"/>
        </w:rPr>
      </w:pPr>
      <w:r>
        <w:rPr>
          <w:rFonts w:ascii="Bookman Old Style" w:hAnsi="Bookman Old Style"/>
          <w:sz w:val="28"/>
        </w:rPr>
        <w:br w:type="page"/>
      </w:r>
      <w:r>
        <w:rPr>
          <w:rFonts w:ascii="Bookman Old Style" w:hAnsi="Bookman Old Style"/>
          <w:sz w:val="32"/>
        </w:rPr>
        <w:t>Список используемой литературы</w:t>
      </w:r>
      <w:r>
        <w:rPr>
          <w:rFonts w:ascii="Bookman Old Style" w:hAnsi="Bookman Old Style"/>
          <w:sz w:val="28"/>
        </w:rPr>
        <w:t>.</w:t>
      </w:r>
    </w:p>
    <w:p w:rsidR="00710EBD" w:rsidRDefault="00710EBD">
      <w:pPr>
        <w:spacing w:line="480" w:lineRule="auto"/>
        <w:jc w:val="both"/>
        <w:rPr>
          <w:rFonts w:ascii="Bookman Old Style" w:hAnsi="Bookman Old Style"/>
          <w:sz w:val="28"/>
        </w:rPr>
      </w:pPr>
    </w:p>
    <w:p w:rsidR="00710EBD" w:rsidRDefault="00054A29">
      <w:pPr>
        <w:numPr>
          <w:ilvl w:val="0"/>
          <w:numId w:val="18"/>
        </w:numPr>
        <w:spacing w:line="480" w:lineRule="auto"/>
        <w:jc w:val="both"/>
        <w:rPr>
          <w:rFonts w:ascii="Bookman Old Style" w:hAnsi="Bookman Old Style"/>
          <w:sz w:val="28"/>
        </w:rPr>
      </w:pPr>
      <w:r>
        <w:rPr>
          <w:rFonts w:ascii="Bookman Old Style" w:hAnsi="Bookman Old Style"/>
          <w:sz w:val="28"/>
        </w:rPr>
        <w:t>Д.С.Маков «Венгрия» М. Попури1994.</w:t>
      </w:r>
    </w:p>
    <w:p w:rsidR="00710EBD" w:rsidRDefault="00054A29">
      <w:pPr>
        <w:numPr>
          <w:ilvl w:val="0"/>
          <w:numId w:val="18"/>
        </w:numPr>
        <w:spacing w:line="480" w:lineRule="auto"/>
        <w:jc w:val="both"/>
        <w:rPr>
          <w:rFonts w:ascii="Bookman Old Style" w:hAnsi="Bookman Old Style"/>
          <w:sz w:val="28"/>
        </w:rPr>
      </w:pPr>
      <w:r>
        <w:rPr>
          <w:rFonts w:ascii="Bookman Old Style" w:hAnsi="Bookman Old Style"/>
          <w:sz w:val="28"/>
        </w:rPr>
        <w:t>В.Г.Герасимов «Венгрия сегодня» М. Прогресс 1990.</w:t>
      </w:r>
    </w:p>
    <w:p w:rsidR="00710EBD" w:rsidRDefault="00054A29">
      <w:pPr>
        <w:numPr>
          <w:ilvl w:val="0"/>
          <w:numId w:val="18"/>
        </w:numPr>
        <w:spacing w:line="480" w:lineRule="auto"/>
        <w:jc w:val="both"/>
        <w:rPr>
          <w:rFonts w:ascii="Bookman Old Style" w:hAnsi="Bookman Old Style"/>
          <w:sz w:val="28"/>
        </w:rPr>
      </w:pPr>
      <w:r>
        <w:rPr>
          <w:rFonts w:ascii="Bookman Old Style" w:hAnsi="Bookman Old Style"/>
          <w:sz w:val="28"/>
        </w:rPr>
        <w:t>«Все о Венгрии»  Будапешт Корвина 1988ю.</w:t>
      </w:r>
    </w:p>
    <w:p w:rsidR="00710EBD" w:rsidRDefault="00054A29">
      <w:pPr>
        <w:numPr>
          <w:ilvl w:val="0"/>
          <w:numId w:val="18"/>
        </w:numPr>
        <w:spacing w:line="480" w:lineRule="auto"/>
        <w:jc w:val="both"/>
        <w:rPr>
          <w:rFonts w:ascii="Bookman Old Style" w:hAnsi="Bookman Old Style"/>
          <w:sz w:val="28"/>
        </w:rPr>
      </w:pPr>
      <w:r>
        <w:rPr>
          <w:rFonts w:ascii="Bookman Old Style" w:hAnsi="Bookman Old Style"/>
          <w:sz w:val="28"/>
        </w:rPr>
        <w:t>«Венгрия. Большой путеводитель» Будапешт Корвина 1989.</w:t>
      </w:r>
    </w:p>
    <w:p w:rsidR="00710EBD" w:rsidRDefault="00710EBD">
      <w:pPr>
        <w:pStyle w:val="6"/>
        <w:rPr>
          <w:snapToGrid w:val="0"/>
        </w:rPr>
      </w:pPr>
    </w:p>
    <w:p w:rsidR="00710EBD" w:rsidRDefault="00710EBD">
      <w:pPr>
        <w:pStyle w:val="6"/>
        <w:rPr>
          <w:snapToGrid w:val="0"/>
        </w:rPr>
      </w:pPr>
    </w:p>
    <w:p w:rsidR="00710EBD" w:rsidRDefault="00710EBD">
      <w:pPr>
        <w:pStyle w:val="6"/>
      </w:pPr>
    </w:p>
    <w:sectPr w:rsidR="00710EBD">
      <w:pgSz w:w="11906" w:h="16838" w:code="9"/>
      <w:pgMar w:top="816" w:right="680" w:bottom="1701" w:left="176" w:header="570" w:footer="1113" w:gutter="1134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EBD" w:rsidRDefault="00054A29">
      <w:r>
        <w:separator/>
      </w:r>
    </w:p>
  </w:endnote>
  <w:endnote w:type="continuationSeparator" w:id="0">
    <w:p w:rsidR="00710EBD" w:rsidRDefault="00054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EBD" w:rsidRDefault="00054A29">
    <w:pPr>
      <w:pStyle w:val="a7"/>
      <w:jc w:val="center"/>
      <w:rPr>
        <w:sz w:val="24"/>
      </w:rPr>
    </w:pPr>
    <w:r>
      <w:rPr>
        <w:rStyle w:val="a8"/>
        <w:sz w:val="24"/>
      </w:rPr>
      <w:fldChar w:fldCharType="begin"/>
    </w:r>
    <w:r>
      <w:rPr>
        <w:rStyle w:val="a8"/>
        <w:sz w:val="24"/>
      </w:rPr>
      <w:instrText xml:space="preserve"> PAGE </w:instrText>
    </w:r>
    <w:r>
      <w:rPr>
        <w:rStyle w:val="a8"/>
        <w:sz w:val="24"/>
      </w:rPr>
      <w:fldChar w:fldCharType="separate"/>
    </w:r>
    <w:r w:rsidR="00764F79">
      <w:rPr>
        <w:rStyle w:val="a8"/>
        <w:noProof/>
        <w:sz w:val="24"/>
      </w:rPr>
      <w:t>1</w:t>
    </w:r>
    <w:r>
      <w:rPr>
        <w:rStyle w:val="a8"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EBD" w:rsidRDefault="00054A29">
      <w:r>
        <w:separator/>
      </w:r>
    </w:p>
  </w:footnote>
  <w:footnote w:type="continuationSeparator" w:id="0">
    <w:p w:rsidR="00710EBD" w:rsidRDefault="00054A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EBD" w:rsidRDefault="00054A29">
    <w:pPr>
      <w:pStyle w:val="a6"/>
      <w:jc w:val="center"/>
      <w:rPr>
        <w:i/>
      </w:rPr>
    </w:pPr>
    <w:r>
      <w:rPr>
        <w:i/>
      </w:rPr>
      <w:t>Экономико-географическая характеристика Венгрии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12269"/>
    <w:multiLevelType w:val="singleLevel"/>
    <w:tmpl w:val="3530EE32"/>
    <w:lvl w:ilvl="0">
      <w:numFmt w:val="bullet"/>
      <w:lvlText w:val="-"/>
      <w:lvlJc w:val="left"/>
      <w:pPr>
        <w:tabs>
          <w:tab w:val="num" w:pos="-490"/>
        </w:tabs>
        <w:ind w:left="-490" w:hanging="360"/>
      </w:pPr>
      <w:rPr>
        <w:rFonts w:ascii="Times New Roman" w:hAnsi="Times New Roman" w:hint="default"/>
      </w:rPr>
    </w:lvl>
  </w:abstractNum>
  <w:abstractNum w:abstractNumId="1">
    <w:nsid w:val="0C01260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C5B2D39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15DF495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264D20A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293C18C2"/>
    <w:multiLevelType w:val="singleLevel"/>
    <w:tmpl w:val="3530EE32"/>
    <w:lvl w:ilvl="0">
      <w:numFmt w:val="bullet"/>
      <w:lvlText w:val="-"/>
      <w:lvlJc w:val="left"/>
      <w:pPr>
        <w:tabs>
          <w:tab w:val="num" w:pos="-490"/>
        </w:tabs>
        <w:ind w:left="-490" w:hanging="360"/>
      </w:pPr>
      <w:rPr>
        <w:rFonts w:ascii="Times New Roman" w:hAnsi="Times New Roman" w:hint="default"/>
      </w:rPr>
    </w:lvl>
  </w:abstractNum>
  <w:abstractNum w:abstractNumId="6">
    <w:nsid w:val="3C36340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3E0D313C"/>
    <w:multiLevelType w:val="singleLevel"/>
    <w:tmpl w:val="3530EE32"/>
    <w:lvl w:ilvl="0">
      <w:numFmt w:val="bullet"/>
      <w:lvlText w:val="-"/>
      <w:lvlJc w:val="left"/>
      <w:pPr>
        <w:tabs>
          <w:tab w:val="num" w:pos="-490"/>
        </w:tabs>
        <w:ind w:left="-490" w:hanging="360"/>
      </w:pPr>
      <w:rPr>
        <w:rFonts w:ascii="Times New Roman" w:hAnsi="Times New Roman" w:hint="default"/>
      </w:rPr>
    </w:lvl>
  </w:abstractNum>
  <w:abstractNum w:abstractNumId="8">
    <w:nsid w:val="45870139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>
    <w:nsid w:val="4A1B1FC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A887F0D"/>
    <w:multiLevelType w:val="singleLevel"/>
    <w:tmpl w:val="3530EE32"/>
    <w:lvl w:ilvl="0">
      <w:numFmt w:val="bullet"/>
      <w:lvlText w:val="-"/>
      <w:lvlJc w:val="left"/>
      <w:pPr>
        <w:tabs>
          <w:tab w:val="num" w:pos="-490"/>
        </w:tabs>
        <w:ind w:left="-490" w:hanging="360"/>
      </w:pPr>
      <w:rPr>
        <w:rFonts w:ascii="Times New Roman" w:hAnsi="Times New Roman" w:hint="default"/>
      </w:rPr>
    </w:lvl>
  </w:abstractNum>
  <w:abstractNum w:abstractNumId="11">
    <w:nsid w:val="4B8738A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59B24CA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623E38E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66CD0BE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6C1942E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6DB46A3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7804723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7"/>
  </w:num>
  <w:num w:numId="2">
    <w:abstractNumId w:val="8"/>
  </w:num>
  <w:num w:numId="3">
    <w:abstractNumId w:val="2"/>
  </w:num>
  <w:num w:numId="4">
    <w:abstractNumId w:val="5"/>
  </w:num>
  <w:num w:numId="5">
    <w:abstractNumId w:val="0"/>
  </w:num>
  <w:num w:numId="6">
    <w:abstractNumId w:val="10"/>
  </w:num>
  <w:num w:numId="7">
    <w:abstractNumId w:val="1"/>
  </w:num>
  <w:num w:numId="8">
    <w:abstractNumId w:val="9"/>
  </w:num>
  <w:num w:numId="9">
    <w:abstractNumId w:val="14"/>
  </w:num>
  <w:num w:numId="10">
    <w:abstractNumId w:val="13"/>
  </w:num>
  <w:num w:numId="11">
    <w:abstractNumId w:val="12"/>
  </w:num>
  <w:num w:numId="12">
    <w:abstractNumId w:val="6"/>
  </w:num>
  <w:num w:numId="13">
    <w:abstractNumId w:val="4"/>
  </w:num>
  <w:num w:numId="14">
    <w:abstractNumId w:val="11"/>
  </w:num>
  <w:num w:numId="15">
    <w:abstractNumId w:val="3"/>
  </w:num>
  <w:num w:numId="16">
    <w:abstractNumId w:val="16"/>
  </w:num>
  <w:num w:numId="17">
    <w:abstractNumId w:val="15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54A29"/>
    <w:rsid w:val="00054A29"/>
    <w:rsid w:val="00710EBD"/>
    <w:rsid w:val="00764F79"/>
    <w:rsid w:val="00B00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6">
      <o:colormenu v:ext="edit" fill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left="-709" w:right="-1050" w:firstLine="283"/>
      <w:outlineLvl w:val="0"/>
    </w:pPr>
    <w:rPr>
      <w:rFonts w:ascii="Bookman Old Style" w:hAnsi="Bookman Old Style"/>
      <w:sz w:val="24"/>
    </w:rPr>
  </w:style>
  <w:style w:type="paragraph" w:styleId="2">
    <w:name w:val="heading 2"/>
    <w:basedOn w:val="a"/>
    <w:next w:val="a"/>
    <w:qFormat/>
    <w:pPr>
      <w:keepNext/>
      <w:spacing w:line="360" w:lineRule="auto"/>
      <w:ind w:left="-709" w:right="-1332" w:firstLine="283"/>
      <w:jc w:val="center"/>
      <w:outlineLvl w:val="1"/>
    </w:pPr>
    <w:rPr>
      <w:rFonts w:ascii="Bookman Old Style" w:hAnsi="Bookman Old Style"/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-1134" w:right="-1049" w:firstLine="284"/>
      <w:jc w:val="both"/>
      <w:outlineLvl w:val="2"/>
    </w:pPr>
    <w:rPr>
      <w:rFonts w:ascii="Bookman Old Style" w:hAnsi="Bookman Old Style"/>
      <w:i/>
      <w:snapToGrid w:val="0"/>
      <w:sz w:val="24"/>
    </w:rPr>
  </w:style>
  <w:style w:type="paragraph" w:styleId="4">
    <w:name w:val="heading 4"/>
    <w:basedOn w:val="a"/>
    <w:next w:val="a"/>
    <w:qFormat/>
    <w:pPr>
      <w:keepNext/>
      <w:spacing w:line="360" w:lineRule="auto"/>
      <w:ind w:right="-1049"/>
      <w:jc w:val="both"/>
      <w:outlineLvl w:val="3"/>
    </w:pPr>
    <w:rPr>
      <w:rFonts w:ascii="Bookman Old Style" w:hAnsi="Bookman Old Style"/>
      <w:snapToGrid w:val="0"/>
      <w:sz w:val="24"/>
    </w:rPr>
  </w:style>
  <w:style w:type="paragraph" w:styleId="5">
    <w:name w:val="heading 5"/>
    <w:basedOn w:val="a"/>
    <w:next w:val="a"/>
    <w:qFormat/>
    <w:pPr>
      <w:keepNext/>
      <w:spacing w:line="360" w:lineRule="auto"/>
      <w:ind w:left="-1134" w:right="-1050"/>
      <w:jc w:val="both"/>
      <w:outlineLvl w:val="4"/>
    </w:pPr>
    <w:rPr>
      <w:rFonts w:ascii="Bookman Old Style" w:hAnsi="Bookman Old Style"/>
      <w:i/>
      <w:sz w:val="26"/>
    </w:rPr>
  </w:style>
  <w:style w:type="paragraph" w:styleId="6">
    <w:name w:val="heading 6"/>
    <w:basedOn w:val="a"/>
    <w:next w:val="a"/>
    <w:qFormat/>
    <w:pPr>
      <w:keepNext/>
      <w:spacing w:line="360" w:lineRule="auto"/>
      <w:ind w:left="-426" w:right="-2" w:firstLine="284"/>
      <w:jc w:val="both"/>
      <w:outlineLvl w:val="5"/>
    </w:pPr>
    <w:rPr>
      <w:rFonts w:ascii="Bookman Old Style" w:hAnsi="Bookman Old Style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semiHidden/>
    <w:pPr>
      <w:ind w:left="-567" w:right="-1050" w:firstLine="283"/>
    </w:pPr>
    <w:rPr>
      <w:rFonts w:ascii="Bookman Old Style" w:hAnsi="Bookman Old Style"/>
      <w:sz w:val="24"/>
    </w:rPr>
  </w:style>
  <w:style w:type="paragraph" w:styleId="a4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a5">
    <w:name w:val="Body Text Indent"/>
    <w:basedOn w:val="a"/>
    <w:semiHidden/>
    <w:pPr>
      <w:spacing w:line="360" w:lineRule="auto"/>
      <w:ind w:right="282" w:firstLine="283"/>
      <w:jc w:val="both"/>
    </w:pPr>
    <w:rPr>
      <w:rFonts w:ascii="Bookman Old Style" w:hAnsi="Bookman Old Style"/>
      <w:snapToGrid w:val="0"/>
      <w:sz w:val="24"/>
    </w:rPr>
  </w:style>
  <w:style w:type="paragraph" w:styleId="20">
    <w:name w:val="Body Text Indent 2"/>
    <w:basedOn w:val="a"/>
    <w:semiHidden/>
    <w:pPr>
      <w:spacing w:line="360" w:lineRule="auto"/>
      <w:ind w:left="-1701" w:firstLine="284"/>
      <w:jc w:val="both"/>
    </w:pPr>
    <w:rPr>
      <w:rFonts w:ascii="Bookman Old Style" w:hAnsi="Bookman Old Style"/>
      <w:snapToGrid w:val="0"/>
      <w:sz w:val="24"/>
    </w:rPr>
  </w:style>
  <w:style w:type="paragraph" w:styleId="a6">
    <w:name w:val="header"/>
    <w:basedOn w:val="a"/>
    <w:semiHidden/>
    <w:pPr>
      <w:tabs>
        <w:tab w:val="center" w:pos="4153"/>
        <w:tab w:val="right" w:pos="8306"/>
      </w:tabs>
    </w:pPr>
  </w:style>
  <w:style w:type="paragraph" w:styleId="a7">
    <w:name w:val="footer"/>
    <w:basedOn w:val="a"/>
    <w:semiHidden/>
    <w:pPr>
      <w:tabs>
        <w:tab w:val="center" w:pos="4153"/>
        <w:tab w:val="right" w:pos="8306"/>
      </w:tabs>
    </w:pPr>
  </w:style>
  <w:style w:type="character" w:styleId="a8">
    <w:name w:val="page number"/>
    <w:basedOn w:val="a0"/>
    <w:semiHidden/>
  </w:style>
  <w:style w:type="paragraph" w:styleId="a9">
    <w:name w:val="Body Text"/>
    <w:basedOn w:val="a"/>
    <w:semiHidden/>
    <w:rPr>
      <w:sz w:val="24"/>
    </w:rPr>
  </w:style>
  <w:style w:type="paragraph" w:styleId="aa">
    <w:name w:val="Title"/>
    <w:basedOn w:val="a"/>
    <w:qFormat/>
    <w:pPr>
      <w:jc w:val="center"/>
    </w:pPr>
    <w:rPr>
      <w:sz w:val="9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2326</Words>
  <Characters>16042</Characters>
  <Application>Microsoft Office Word</Application>
  <DocSecurity>0</DocSecurity>
  <Lines>393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</vt:lpstr>
    </vt:vector>
  </TitlesOfParts>
  <Company/>
  <LinksUpToDate>false</LinksUpToDate>
  <CharactersWithSpaces>18433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</dc:title>
  <dc:subject/>
  <dc:creator/>
  <cp:keywords/>
  <cp:lastModifiedBy>Alex</cp:lastModifiedBy>
  <cp:revision>2</cp:revision>
  <cp:lastPrinted>1999-03-06T11:45:00Z</cp:lastPrinted>
  <dcterms:created xsi:type="dcterms:W3CDTF">2016-12-19T04:27:00Z</dcterms:created>
  <dcterms:modified xsi:type="dcterms:W3CDTF">2016-12-19T04:27:00Z</dcterms:modified>
</cp:coreProperties>
</file>