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318" w:rsidRDefault="009B7318">
      <w:pPr>
        <w:widowControl w:val="0"/>
        <w:spacing w:before="120"/>
        <w:jc w:val="center"/>
        <w:rPr>
          <w:rFonts w:ascii="Times New Roman" w:hAnsi="Times New Roman" w:cs="Times New Roman"/>
          <w:b/>
          <w:bCs/>
          <w:color w:val="000000"/>
          <w:sz w:val="32"/>
          <w:szCs w:val="32"/>
        </w:rPr>
      </w:pPr>
      <w:bookmarkStart w:id="0" w:name="_GoBack"/>
      <w:bookmarkEnd w:id="0"/>
      <w:r>
        <w:rPr>
          <w:rFonts w:ascii="Times New Roman" w:hAnsi="Times New Roman" w:cs="Times New Roman"/>
          <w:b/>
          <w:bCs/>
          <w:color w:val="000000"/>
          <w:sz w:val="32"/>
          <w:szCs w:val="32"/>
        </w:rPr>
        <w:t>Центральный экономический район.</w:t>
      </w:r>
    </w:p>
    <w:p w:rsidR="009B7318" w:rsidRDefault="009B7318">
      <w:pPr>
        <w:widowControl w:val="0"/>
        <w:spacing w:before="120"/>
        <w:jc w:val="center"/>
        <w:rPr>
          <w:rFonts w:ascii="Times New Roman" w:hAnsi="Times New Roman" w:cs="Times New Roman"/>
          <w:color w:val="000000"/>
          <w:sz w:val="28"/>
          <w:szCs w:val="28"/>
        </w:rPr>
      </w:pPr>
      <w:r>
        <w:rPr>
          <w:rFonts w:ascii="Times New Roman" w:hAnsi="Times New Roman" w:cs="Times New Roman"/>
          <w:color w:val="000000"/>
          <w:sz w:val="28"/>
          <w:szCs w:val="28"/>
        </w:rPr>
        <w:t>Курсовую работу по экономической географии выполнил студент I курса дневного отделения ОЭФ группы 9106 Паршенцев Артем Александрович.</w:t>
      </w:r>
    </w:p>
    <w:p w:rsidR="009B7318" w:rsidRDefault="009B7318">
      <w:pPr>
        <w:widowControl w:val="0"/>
        <w:spacing w:before="120"/>
        <w:jc w:val="center"/>
        <w:rPr>
          <w:rFonts w:ascii="Times New Roman" w:hAnsi="Times New Roman" w:cs="Times New Roman"/>
          <w:color w:val="000000"/>
          <w:sz w:val="28"/>
          <w:szCs w:val="28"/>
        </w:rPr>
      </w:pPr>
      <w:r>
        <w:rPr>
          <w:rFonts w:ascii="Times New Roman" w:hAnsi="Times New Roman" w:cs="Times New Roman"/>
          <w:color w:val="000000"/>
          <w:sz w:val="28"/>
          <w:szCs w:val="28"/>
        </w:rPr>
        <w:t>Государственный Комитет Российской Федерации по высшему образованию</w:t>
      </w:r>
    </w:p>
    <w:p w:rsidR="009B7318" w:rsidRDefault="009B7318">
      <w:pPr>
        <w:widowControl w:val="0"/>
        <w:spacing w:before="120"/>
        <w:jc w:val="center"/>
        <w:rPr>
          <w:rFonts w:ascii="Times New Roman" w:hAnsi="Times New Roman" w:cs="Times New Roman"/>
          <w:color w:val="000000"/>
          <w:sz w:val="28"/>
          <w:szCs w:val="28"/>
        </w:rPr>
      </w:pPr>
      <w:r>
        <w:rPr>
          <w:rFonts w:ascii="Times New Roman" w:hAnsi="Times New Roman" w:cs="Times New Roman"/>
          <w:color w:val="000000"/>
          <w:sz w:val="28"/>
          <w:szCs w:val="28"/>
        </w:rPr>
        <w:t>РОССИЙСКАЯ ЭКОНОМИЧЕСКАЯ АКАДЕМИЯ им. Г. В. ПЛЕХАНОВА</w:t>
      </w:r>
    </w:p>
    <w:p w:rsidR="009B7318" w:rsidRDefault="009B7318">
      <w:pPr>
        <w:widowControl w:val="0"/>
        <w:spacing w:before="120"/>
        <w:jc w:val="center"/>
        <w:rPr>
          <w:rFonts w:ascii="Times New Roman" w:hAnsi="Times New Roman" w:cs="Times New Roman"/>
          <w:color w:val="000000"/>
          <w:sz w:val="28"/>
          <w:szCs w:val="28"/>
        </w:rPr>
      </w:pPr>
      <w:r>
        <w:rPr>
          <w:rFonts w:ascii="Times New Roman" w:hAnsi="Times New Roman" w:cs="Times New Roman"/>
          <w:color w:val="000000"/>
          <w:sz w:val="28"/>
          <w:szCs w:val="28"/>
        </w:rPr>
        <w:t>Кафедра экономической географии</w:t>
      </w:r>
    </w:p>
    <w:p w:rsidR="009B7318" w:rsidRDefault="009B7318">
      <w:pPr>
        <w:widowControl w:val="0"/>
        <w:spacing w:before="120"/>
        <w:jc w:val="center"/>
        <w:rPr>
          <w:rFonts w:ascii="Times New Roman" w:hAnsi="Times New Roman" w:cs="Times New Roman"/>
          <w:color w:val="000000"/>
          <w:sz w:val="28"/>
          <w:szCs w:val="28"/>
        </w:rPr>
      </w:pPr>
      <w:r>
        <w:rPr>
          <w:rFonts w:ascii="Times New Roman" w:hAnsi="Times New Roman" w:cs="Times New Roman"/>
          <w:color w:val="000000"/>
          <w:sz w:val="28"/>
          <w:szCs w:val="28"/>
        </w:rPr>
        <w:t>Москва, 1995.</w:t>
      </w:r>
    </w:p>
    <w:p w:rsidR="009B7318" w:rsidRDefault="009B731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1. Роль ЦЭР в общероссийском разделении труда. Стартовые условия развития.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Центральный экономический район России включает город Москву и 12 областей: Брянскую, Владимирскую, Ивановскую, Тверскую, Калужскую, Костромскую, Московскую, Орловскую, Рязанскую, Смоленскую, Тульскую и Ярославскую.</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Район занимает территорию 485,1 тыс. км2 (2,8% площади России), но при этом концентрирует 20,4% населения России (30383 тыс. чел. на 1 января 1993 г.), 23% городов, 18% поселков городского типа и существенную долю промышленного производства (удельный вес области в общем объеме промышленности за 1992 год составил 16,8%, в том числе добывающей — 1,3%, обрабатывающей — 20%).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Главные причины выдающегося экономического значения Центра заключаются в особенностях его исторического развития. Современный Центр вырос из древнейшего ядра Русского государства, сложившегося вокруг Москвы. Здесь, на исконных русских землях, уже много веков назад образовался густо населенный хозяйственно развитый край. Ведущее экономическое положение Центральной России сохранялось и позже.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На всех этапах развития Центра большое место в определении его судьбы занимало географическое положение этого района. Благодаря ведущей экономической роли Москвы окружавший ее район превратил свое центральное географическое положение в центральное транспортное, ведь еще в давние времена здесь пересекались главные торговые пути. И в настоящее время положение Центра посреди наиболее густо заселенной и хозяйственно освоенной части страны, в крупнейшем узле транспортных путей, на “перекрестке” важнейших экономических связей между различными районами оказывает очень большое влияние на весь ход развития этого района. Огромное влияние на развитие областей ЦЭР оказывает и наличие столичного региона. Москва имеет с областями района развитые экономические, культурные, научные, транспортные, снабженческие и другие связи.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ЦЭР занимает первое место в стране по степени развития хозяйства, представленного крупной современной промышленностью, высокоразвитым сельским хозяйством, транспортом, торговлей и прочими отраслями материального производства. Для сферы материального производства характерна высокая степень концентрации производства важнейших видов продукции, кооперирования и комбинирования, развития инфраструктуры наряду со значительной оснащенностью техническими средствами и высококвалифицированными кадрами. Район специализируется на машиностроении, химической, нефтехимической, текстильной промышленности. В межрайонном обмене участвует 4/5 продукции машиностроения, 1/2 химической и 3/4 текстильной промышленности, что свидетельствует о высоком уровне развития этих отраслей. ЦЭР также занимает ведущее место в России по производству молока, мяса, яиц, овощей, картофеля, льна-долгунца. Народнохозяйственная роль ЦЭР определяется не только значительным объемом промышленного производства и высоким качеством продукции, но и наличием мощной научной, проектно-конструкторской и опытно-экспериментальной базы. В науке и научном обслуживании занята 1/3 численности всех работников этой отрасли страны.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Итак, стартовые условия развития хозяйства: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старопромышленный характер района;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концентрация высококвалифицированных кадров;</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столичное положение;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бедность природными ресурсами;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роль района, как главной научно-технической базы страны.</w:t>
      </w:r>
    </w:p>
    <w:p w:rsidR="009B7318" w:rsidRDefault="009B731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2. Природно-ресурсный потенциал Центра, его экономико-географическая оценка.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Среди районов нашей страны Центр более всех других выделяется “умеренностью” своей природы.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Рельеф. Для ЦЭР в целом характерен равнинный рельеф, обусловленный особенностями геологического строения. Эта территория в тектоническом отношении представляет собой часть обширной Русской платформы. Хотя в целом Центр является равнинным районом, в его пределах можно довольно ясно различить разные по характеру рельефа области.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На северо-западе расположена Валдайская возвышенность, к которой примыкают обширные низины. Южнее в широтном направлении через Смоленск, Вязьму и далее тянется Смоленская возвышенность. На юго-западе в пределы Центра заходит краем Приднепровская низменность. На юго-востоке Центра представлено одно из звеньев обширного пояса низин, одной из которых является Мещерская низменность. Южная часть Центра лежит в пределах среднерусской возвышенности, которая на востоке переходит в Окско-Донскую низменность. Наиболее пониженная часть района — это долина реки Оки.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Минеральные ресурсы. По сравнению с другими районами России Центр сравнительно беден природными, особенно ископаемыми, ресурсами. Имеющиеся ресурсы топлива, железных руд, некоторых нерудных ископаемых, как правило, и в количественном и в качественном отношении занимают весьма скромное место. Такое положение Центра особенно выделяется именно в связи с промышленным развитием этого района, подчеркивающим несоответствие его ограниченных природных ресурсов и мощного экономического потенциала.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Топливные ресурсы Центра представлены запасами подмосковного угля и торфа; это низкокачественное и сравнительно дорогое топливо. Уголь обнаружен в широком поясе, получившем название Подмосковного бассейна. Разведанные запасы этого бассейна составляют около 4 млрд. т. Наибольшими ресурсами отличаются Тульская и Калужская области. Для этого угля характерны высокая зольность, влажность и сернистость. Торф в связи с широким распространением болот имеется в северной половине Центра почти повсеместно. Самые крупные торфяные месторождения расположены в пределах Мещерской и Верхневолжской низменностей. Низкая колорийность и высокая влажность торфа делают более предпочтительным его использование вблизи мест добычи.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Железные руды издавна использовались в Тульской области, но их запасы незначительны.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Большое значение имеют нерудные ископаемые Центра — известняки, огнеупорные и кирпичные глины, строительные, стекольные пески, гравий. Район испытывает огромную потребность в этих ископаемых и особенно интенсивно их месторождения используются вблизи Москвы.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Значительную хозяйственную роль играют расположенные в Брянской и Московской (Воскресенско-Егорьевское) областях месторождения фосфоритов, а также поваренной соли и известняков в Тульской.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По запасам и добыче гипса для производства вяжущих материалов ЦЭР не имеет себе равных. Большая часть запасов и вся добыча сосредоточены в Тульской области.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Климат. Район Центра лежит в пределах атлантико-континентальной климатической области умеренного пояса. Для него характерны не слишком холодная зима и теплое, но не чрезмерно жаркое лето. Во все сезоны преобладают западные ветры, приносящие воздух атлантического происхождения.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Наиболее низкие температуры наблюдаются в январе: в среднем от -8</w:t>
      </w:r>
      <w:r>
        <w:rPr>
          <w:rFonts w:ascii="Times New Roman" w:hAnsi="Times New Roman" w:cs="Times New Roman"/>
          <w:color w:val="000000"/>
        </w:rPr>
        <w:t> на западе до -12</w:t>
      </w:r>
      <w:r>
        <w:rPr>
          <w:rFonts w:ascii="Times New Roman" w:hAnsi="Times New Roman" w:cs="Times New Roman"/>
          <w:color w:val="000000"/>
        </w:rPr>
        <w:t> на востоке района. Летом различия внутри района гораздо меньше, чем зимой: от 18</w:t>
      </w:r>
      <w:r>
        <w:rPr>
          <w:rFonts w:ascii="Times New Roman" w:hAnsi="Times New Roman" w:cs="Times New Roman"/>
          <w:color w:val="000000"/>
        </w:rPr>
        <w:t></w:t>
      </w:r>
      <w:r>
        <w:rPr>
          <w:rFonts w:ascii="Times New Roman" w:hAnsi="Times New Roman" w:cs="Times New Roman"/>
          <w:color w:val="000000"/>
        </w:rPr>
        <w:t>на северо-западе до 20</w:t>
      </w:r>
      <w:r>
        <w:rPr>
          <w:rFonts w:ascii="Times New Roman" w:hAnsi="Times New Roman" w:cs="Times New Roman"/>
          <w:color w:val="000000"/>
        </w:rPr>
        <w:t> на юго-востоке. Годовая амплитуда температуры воздуха в Центре сравнительно невелика (26-30</w:t>
      </w:r>
      <w:r>
        <w:rPr>
          <w:rFonts w:ascii="Times New Roman" w:hAnsi="Times New Roman" w:cs="Times New Roman"/>
          <w:color w:val="000000"/>
        </w:rPr>
        <w:t>). Среднее продолжительность безморозного периода составляет 125-140 дней для открытого ровного места, а сумма температур за это время 1800-2300</w:t>
      </w:r>
      <w:r>
        <w:rPr>
          <w:rFonts w:ascii="Times New Roman" w:hAnsi="Times New Roman" w:cs="Times New Roman"/>
          <w:color w:val="000000"/>
        </w:rPr>
        <w:t>, что позволяет успешно возделывать в Центре большую часть зерновых, картофель, овощи, кормовые травы, лен. Среднегодовое количество осадков составляет 450-600 мм.</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Водные ресурсы. Поверхностные водные источники района представлены разветвленной речной сетью, относящейся к бассейнам Каспийского, Черного и Балтийского морей. Обеспеченность ресурсами поверхностных вод территории района уменьшается с севера-северо-запада на юг-юго-восток. Наиболее крупные реки района — Волга с притоками Окой, Мологой, Костромой и другими, Днепр с Десной, Западная Двина, Дон. Однако в результате положения в районе главных водоразделов в Центре нет особенно крупных водостоков — все значительные реки протекают здесь своими верховьями, набирая полную силу уже за пределами района. Судоходные реки — Волга, Ока, Москва. Другие реки района не имеют большого транспортного значения и в основном играют роль местных источников водоснабжения.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Озера многочисленны, но не велики.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Северная половина района отличается значительной заболоченностью. Почти повсеместно здесь встречаются тысячи больших и малых болот.</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Почвенные ресурсы. Наиболее характерны для большей части района (к северу от Оки) дерново-подзолистые почвы. С сильной заболоченностью северной части район связано довольно широкое распространение подзолисто-болотных почв. В качестве своеобразных “островов” среди подзолистых почв выделяются массивы темноцветных, более плодородных серых лесных почв.</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Южная часть Центра резко отличается по почвам от основной его территории. Здесь — значительно более плодородные серые лесные почвы и черноземы, которые издавна интенсивно распахивались и утратили часть своего природного плодородия.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Лесные ресурсы. Серьезные изменения в облик растительности Центра внесла многовековая деятельность человека; этот район в течение нескольких столетий был наиболее густонаселенной и хозяйственно развитой частью страны. В результате на обширных пространствах леса были вырублены и заменены пашнями и лугами. Поскольку в результате рубок и других видов воздействия человека состав лесов сильно изменился, в Центре преобладают вторичные леса, образовавшие на месте коренных хвойных, хвойно-широколиственных и широколиственных лесов. Очень много лесов погибло во время Великой отечественной войны, так что на западе Центра сейчас много молодых рощ и перелесков.</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Покрытая лесом площадь ЦЭР составляет 40% его территории, или менее 2% государственного лесного фонда России. Костромская область относится к зоне лесов промышленного значения, а все остальные области — к зоне малолесных районов. Почти 2/5 лесопокрытой площади района имеет главным образом водоохранное, защитное и рекреационное значение.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Рекреационные ресурсы. Рекреационные ресурсы ЦЭР имеют особое значение в силу столичного положения и сосредоточения здесь многочисленного, преимущественно городского населения. Район располагает большими рекреационными ресурсами прежде всего благодаря живописным ландшафтам среднерусской полосы. Только леса прямого рекреационного назначения составляют около 1/5 подобных лесов России.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Помимо природных, большую рекреационную ценность представляют многочисленные историко-культурные и архитектурные памятники, которыми так богат район. В Центре создан первый в стране кольцевой комплексный туристиче-ский маршрут “Золотое кольцо” (Москва - Сергиев Посад - Переславль-Залесский - Ростов - Ярославль - Кострома - Иваново - Суздаль - Владимир - Москва).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Население и трудовые ресурсы. По численности населения, количеству городов и поселков, разнообразию типов и облика населенных пунктов Центр занимает особое место в нашей стране. Здесь живет 30,3 млн. чел., или 20,4% населения России; по плотности населения (62,6 чел./км2) ЦЭР также занимает первое место среди районов. Внутри самого Центра четко различаются густонаселенные промышленные, насыщенные многочисленными городами и поселками районы Волго-Окского междуречья и периферийные западные и южные части. На севере района плотность составляет 15-20 чел./км2, на западе и юге — 50-70 чел./км2. Наименее плотно заселена Костромская область, а максимальная плотность — в Московской.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Центр — район древнейшего славянского заселения, историческое ядро русской народности. И в настоящее время район отличается весьма однородным национальным составом: здесь повсеместно преобладает русское население. Небольшие национальные группы есть на востоке Рязанской области (татары) и северо-востоке Тверской (карелы). На западе живут белорусы и украинцы.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Характерная черта Центра — высокий удельный вес городского населения. В районе 248 городов и 400 ПГТ, в которых проживает свыше 25 млн. чел. Таким образом доля городского населения в районе — 82,5%. При этом среднерайонного показателя достигли Ивановская, Тульская и Ярославская области, а Московская — превысила его. В районе более 30 больших городов, доля населения которых в общей численности жителей ЦЭР составляет почти половину, а в городском населении — более 2/3. В Центре распространены как крупные скопления городских поселений, так и одиночные города и поселки. Среди скоплений городов выдающееся место занимает Москва, вокруг которой выросла целая плеяда спутников. В Московской агломерации проживает 1/2 городского населения района. Другие крупнейшие городские агломерации-”миллионеры” — Тульская и Ярославская. Важной причиной усиления связи между городами ЦЭР является их многопрофильность, особая роль промышленности, территориальная близость, благоприятные транспортные условия. Большие города отличаются высокими темпами роста, что обусловлено концентрацией промышленности и социальной инфраструктурой. Сеть городских поселений Центра складывалась в течение долгих веков. Здесь более, чем где бы то ни было сохранились города, принадлежащие к числу наиболее древних в нашей стране. Именно они стали опорными точками современного городского расселения. Среди административных и промышленных центров также преобладают древние города (Смоленск, Рязань, Владимир, Вязьма, Коломна).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Для ЦЭР характерна сравнительно небольшая доля сельских жителей в общей численности населения — 17%. Основная причина сокращения числа сельских жителей района — интенсивный отток из сельской местности. В Подмосковье, а также в Ивановской, Владимирской, Тульской областях значительную часть жителей сельских населенных пунктов составляет население, не связанное с сельским хозяйством. Население издавна осваивало прежде всего более плодородные земли, поэтому в местах распространения очень благоприятных почв образовались массивы сплошного заселения. Для большей части Центра характерны мелкие и средние селения, что объясняется преобладанием очагового характера земледельческого освоения территории. На юго-востоке района преобладают более редко расположенные крупные села. Это соответствует более высокой продуктивности земли, сплошному освоению территории и др. Крупные сельские населенные пункты можно встретить также вдоль больших рек, около городов.</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Миграция оказала определенное влияние на динамику роста численности населения района. Для механического движения городского населения характерна большая доля мигрантов из других экономических районов. Центральный район к югу от Москвы — одно из главных полей миграционного тяготения. В обмене с Москвой и областью теряют часть своего городского населения почти все области района. Наряду с этим механический прирост городского населения этих областей формируется в основном за счет притока местных сельских жителей. Притягательная сила Центра сопровождается снижением роли “своего” села в росте городов этого района. В Центре за счет этого источника в 1979-1988 гг. замещалась только треть потока в город. Начиная со второй половины 60-х гг. стал стремительно возрастать приток населения в ЦЭР. В 1979-1988 гг. этот район принял 32% всех мигрантов, перераспределившихся между союзными республиками бывшего СССР и остальными регионами России. В притоке трудовых ресурсов в города Центра значительное место принадлежит также маятниковым миграциям. Особо выделяется Московская область, где каждый четвертый сельский житель занят на работе или учебе в городских поселениях. Кроме того, в Москву на работу приезжает около 36% трудящихся, живущих в городах-спутниках.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Сложившаяся в ЦЭР демографическая ситуация характеризуется невысоким естественным приростом и возрастанием доли населения старших возрастов. Численность трудовых ресурсов недостаточна. Население Центра, как древнего хозяйственного ядра страны, исторически стало носителем многих разнообразных производственных навыков. Благодаря раннему развитию промышленности, которая опиралась на сложившиеся навыки населения, в Центре еще задолго до революции сформировалась большая армия квалифицированных рабочих. Район, прежде всего благодаря расположенной в его пределах Москве, играл и играет выдающуюся роль в развитии культуры, подготовки квалифицированных кадров. Более высокий, чем в среднем по стране, уровень занятости трудовых ресурсов в непроизводственной сфере обусловлен ролью, которую ЦЭР играет в развитии науки, культуры и подготовке кадров специалистов. Но сам район испытывает дефицит главным образом в менее квалифицированной рабочей силе. </w:t>
      </w:r>
    </w:p>
    <w:p w:rsidR="009B7318" w:rsidRDefault="009B731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3. Отраслевая структура хозяйства ЦЭР. Размещение ведущих отраслей промышленности.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 территории ЦЭР сформировался сложный промышленный комплекс преимущественно обрабатывающих отраслей и производств, обладающий достаточно высоким уровнем взаимосвязанности.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Удельный вес района в производстве промышленной продукции по отдельным отраслям в 1992 году. </w:t>
      </w:r>
      <w:r>
        <w:rPr>
          <w:rStyle w:val="ad"/>
          <w:rFonts w:ascii="Times New Roman" w:hAnsi="Times New Roman" w:cs="Times New Roman"/>
          <w:color w:val="000000"/>
          <w:vertAlign w:val="baseline"/>
        </w:rPr>
        <w:footnoteReference w:id="1"/>
      </w:r>
      <w:r>
        <w:rPr>
          <w:rFonts w:ascii="Times New Roman" w:hAnsi="Times New Roman" w:cs="Times New Roman"/>
          <w:color w:val="000000"/>
        </w:rPr>
        <w:t>)</w:t>
      </w:r>
    </w:p>
    <w:tbl>
      <w:tblPr>
        <w:tblW w:w="0" w:type="auto"/>
        <w:tblInd w:w="-1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1" w:type="dxa"/>
          <w:right w:w="71" w:type="dxa"/>
        </w:tblCellMar>
        <w:tblLook w:val="0000" w:firstRow="0" w:lastRow="0" w:firstColumn="0" w:lastColumn="0" w:noHBand="0" w:noVBand="0"/>
      </w:tblPr>
      <w:tblGrid>
        <w:gridCol w:w="811"/>
        <w:gridCol w:w="781"/>
        <w:gridCol w:w="736"/>
        <w:gridCol w:w="826"/>
        <w:gridCol w:w="840"/>
        <w:gridCol w:w="908"/>
        <w:gridCol w:w="811"/>
        <w:gridCol w:w="908"/>
        <w:gridCol w:w="908"/>
        <w:gridCol w:w="817"/>
        <w:gridCol w:w="796"/>
      </w:tblGrid>
      <w:tr w:rsidR="009B7318" w:rsidRPr="009B7318">
        <w:tc>
          <w:tcPr>
            <w:tcW w:w="81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 xml:space="preserve"> Вся  пр-ть</w:t>
            </w:r>
          </w:p>
        </w:tc>
        <w:tc>
          <w:tcPr>
            <w:tcW w:w="78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Электроэная</w:t>
            </w:r>
          </w:p>
        </w:tc>
        <w:tc>
          <w:tcPr>
            <w:tcW w:w="73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Топл. пр-ть</w:t>
            </w:r>
          </w:p>
        </w:tc>
        <w:tc>
          <w:tcPr>
            <w:tcW w:w="82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Черн. мет-ия</w:t>
            </w:r>
          </w:p>
        </w:tc>
        <w:tc>
          <w:tcPr>
            <w:tcW w:w="840"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Цветн. мет-ия</w:t>
            </w:r>
          </w:p>
        </w:tc>
        <w:tc>
          <w:tcPr>
            <w:tcW w:w="908"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Химия и нефте-химия</w:t>
            </w:r>
          </w:p>
        </w:tc>
        <w:tc>
          <w:tcPr>
            <w:tcW w:w="81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М/стр и мет.обраб-ка</w:t>
            </w:r>
          </w:p>
        </w:tc>
        <w:tc>
          <w:tcPr>
            <w:tcW w:w="908"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Лесная, дер/об и Ц/Б п-ть</w:t>
            </w:r>
          </w:p>
        </w:tc>
        <w:tc>
          <w:tcPr>
            <w:tcW w:w="908"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П-ть строе-мат.</w:t>
            </w:r>
          </w:p>
        </w:tc>
        <w:tc>
          <w:tcPr>
            <w:tcW w:w="817"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Легкая п-ть</w:t>
            </w:r>
          </w:p>
        </w:tc>
        <w:tc>
          <w:tcPr>
            <w:tcW w:w="79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Пищевая п-ть</w:t>
            </w:r>
          </w:p>
        </w:tc>
      </w:tr>
      <w:tr w:rsidR="009B7318" w:rsidRPr="009B7318">
        <w:tc>
          <w:tcPr>
            <w:tcW w:w="81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16,8</w:t>
            </w:r>
          </w:p>
        </w:tc>
        <w:tc>
          <w:tcPr>
            <w:tcW w:w="78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12,7</w:t>
            </w:r>
          </w:p>
        </w:tc>
        <w:tc>
          <w:tcPr>
            <w:tcW w:w="73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6,6</w:t>
            </w:r>
          </w:p>
        </w:tc>
        <w:tc>
          <w:tcPr>
            <w:tcW w:w="82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5,5</w:t>
            </w:r>
          </w:p>
        </w:tc>
        <w:tc>
          <w:tcPr>
            <w:tcW w:w="840"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8,0</w:t>
            </w:r>
          </w:p>
        </w:tc>
        <w:tc>
          <w:tcPr>
            <w:tcW w:w="908"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16,7</w:t>
            </w:r>
          </w:p>
        </w:tc>
        <w:tc>
          <w:tcPr>
            <w:tcW w:w="81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22,9</w:t>
            </w:r>
          </w:p>
        </w:tc>
        <w:tc>
          <w:tcPr>
            <w:tcW w:w="908"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12,5</w:t>
            </w:r>
          </w:p>
        </w:tc>
        <w:tc>
          <w:tcPr>
            <w:tcW w:w="908"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21,2</w:t>
            </w:r>
          </w:p>
        </w:tc>
        <w:tc>
          <w:tcPr>
            <w:tcW w:w="817"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46,4</w:t>
            </w:r>
          </w:p>
        </w:tc>
        <w:tc>
          <w:tcPr>
            <w:tcW w:w="79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18,5</w:t>
            </w:r>
          </w:p>
        </w:tc>
      </w:tr>
    </w:tbl>
    <w:p w:rsidR="009B7318" w:rsidRDefault="009B7318">
      <w:pPr>
        <w:widowControl w:val="0"/>
        <w:spacing w:before="120"/>
        <w:ind w:firstLine="567"/>
        <w:jc w:val="both"/>
        <w:rPr>
          <w:rFonts w:ascii="Times New Roman" w:hAnsi="Times New Roman" w:cs="Times New Roman"/>
          <w:color w:val="000000"/>
        </w:rPr>
      </w:pP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Ведущие отрасли района: машиностроение и металлообработка, химическая и нефтехимическая, легкая промышленность. Большое развитие в районе получили пищевая промышленность, угледобыча, электроэнергетика, металлургия, деревообработка, промышленность строительных материалов, стекольная и фаянсовая.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Машиностроение и металлообработка. Машиностроительный комплекс ЦЭР по численности занятых и товарной продукции не имеет равных в стране. Среди отраслей машиностроения ведущее место принадлежит тем из них, которые в наибольшей степени зависят от наличия квалифицированных кадров и используют мощный научно-технический потенциал района.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Распределение производства машиностроительной продукции ЦЭР (в % к итогу).</w:t>
      </w:r>
    </w:p>
    <w:tbl>
      <w:tblPr>
        <w:tblW w:w="0" w:type="auto"/>
        <w:tblInd w:w="-1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1336"/>
        <w:gridCol w:w="1266"/>
        <w:gridCol w:w="1406"/>
        <w:gridCol w:w="1407"/>
        <w:gridCol w:w="1406"/>
        <w:gridCol w:w="1126"/>
        <w:gridCol w:w="1126"/>
      </w:tblGrid>
      <w:tr w:rsidR="009B7318" w:rsidRPr="009B7318">
        <w:tc>
          <w:tcPr>
            <w:tcW w:w="133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Металлореж. станки</w:t>
            </w:r>
          </w:p>
        </w:tc>
        <w:tc>
          <w:tcPr>
            <w:tcW w:w="126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Тракторы</w:t>
            </w:r>
          </w:p>
        </w:tc>
        <w:tc>
          <w:tcPr>
            <w:tcW w:w="140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Экскаваторы</w:t>
            </w:r>
          </w:p>
        </w:tc>
        <w:tc>
          <w:tcPr>
            <w:tcW w:w="1407"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Кузнечно-прессовое</w:t>
            </w:r>
          </w:p>
        </w:tc>
        <w:tc>
          <w:tcPr>
            <w:tcW w:w="140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Автомобили,</w:t>
            </w:r>
          </w:p>
        </w:tc>
        <w:tc>
          <w:tcPr>
            <w:tcW w:w="112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легковые</w:t>
            </w:r>
          </w:p>
        </w:tc>
        <w:tc>
          <w:tcPr>
            <w:tcW w:w="112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грузовые</w:t>
            </w:r>
          </w:p>
        </w:tc>
      </w:tr>
      <w:tr w:rsidR="009B7318" w:rsidRPr="009B7318">
        <w:tc>
          <w:tcPr>
            <w:tcW w:w="133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29,1</w:t>
            </w:r>
          </w:p>
        </w:tc>
        <w:tc>
          <w:tcPr>
            <w:tcW w:w="126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17,3</w:t>
            </w:r>
          </w:p>
        </w:tc>
        <w:tc>
          <w:tcPr>
            <w:tcW w:w="140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53,2</w:t>
            </w:r>
          </w:p>
        </w:tc>
        <w:tc>
          <w:tcPr>
            <w:tcW w:w="1407"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9,6</w:t>
            </w:r>
          </w:p>
        </w:tc>
        <w:tc>
          <w:tcPr>
            <w:tcW w:w="140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15,5</w:t>
            </w:r>
          </w:p>
        </w:tc>
        <w:tc>
          <w:tcPr>
            <w:tcW w:w="112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10,4</w:t>
            </w:r>
          </w:p>
        </w:tc>
        <w:tc>
          <w:tcPr>
            <w:tcW w:w="112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26,2</w:t>
            </w:r>
          </w:p>
        </w:tc>
      </w:tr>
    </w:tbl>
    <w:p w:rsidR="009B7318" w:rsidRDefault="009B7318">
      <w:pPr>
        <w:widowControl w:val="0"/>
        <w:spacing w:before="120"/>
        <w:ind w:firstLine="567"/>
        <w:jc w:val="both"/>
        <w:rPr>
          <w:rFonts w:ascii="Times New Roman" w:hAnsi="Times New Roman" w:cs="Times New Roman"/>
          <w:color w:val="000000"/>
        </w:rPr>
      </w:pP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Станкостроительная и инструментальная промышленность ЦЭР производит 1/5 металлорежущих станков и около 1/3 металлообрабатывающего инструмента в СНГ. Предприятия сосредоточены в Москве и Московской области (Коломна, Егорьевск, Дмитров), а также в Рязанской (Рязань, Сасово), Ивановской (Иваново) и Калужской (Сухиничи) областях. Предприятия электротехнической промышленности сосредоточены в столице и в области (Подольск, Серпухов), а также в Ярославле, Рыбинске, Владимире, Кольчугине. Приборостроение наиболее развито в Москве и в области, а также в Орловской, Ярославской и Смоленской областях.</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Ведущим производственным объединением в автомобильной промышленности ЦЭР является Московский автозавод им. И. А. Лихачева. Предприятие специализируется на выпуске грузовых автомобилей среднего тоннажа и малосерийных легковых автомобилей высшего класса. Филиалы ЗИЛа расположены в Москве, Рязани, Смоленске, Ярославле, Ярцеве, Мценске и др. городах. На базе автомашин ЗИЛ в Московской области создано производство самосвалов (Мытищи), автобусов (Ликино-Дулево). Московский завод им. Ленинского комсомола — головное предприятие ПО “Москвич”, имеющее филиалы в Ивановской и Тверской областях.</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ЦЭР — родина отечественного железнодорожного машиностроения. Производство тепловозов сосредоточено в Коломне, Брянске, Калуге, Людинове, Муроме; вагонов — в Брянске, Твери, Мытищах.</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Высокой степенью концентрации отличается авиационная промышленность района. Ее предприятия расположены в Москве, Смоленске, Рыбинске (производство двигателей).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Волго-Окском междуречье — Ярославль, Рыбинск, Кострома, Москва, Гороховец — локализуется судостроение.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Принципиальное значение имеют расширение и реконструкция многочисленных в ЦЭР предприятий тракторного (Владимир) и сельскохозяйственного (Люберцы, Рязань, Тула, Бежецк) машиностроения. ЦЭР не имеет равных по производству оборудования для текстильной промышленности (Иваново, Шуя, Коломна, Климовск, Орехово-Зуево, Кострома), швейной (Подольск, Тула, Ржев), химической (Ярославль, Мытищи, Кострома), угольной (Тула, Узловая, Скопин, Ясногорск), энергетической (Подольск, Семибратово), промышленности строительных материалов, деревообрабатывающей, полиграфической (Рыбинск) и т. д.</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Химическая и нефтехимическая промышленность. В этих отраслях промышленности район имеет значительные основные фонды, крупную научную базу и емкого потребителя. Однако развитие отрасли сдерживается дефицитом сырья, воды, энергии, сложной экологической ситуацией высокоурбанизированного района.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Распределение производства продукции химической промышленности ЦЭР (в % к итогу).</w:t>
      </w:r>
    </w:p>
    <w:tbl>
      <w:tblPr>
        <w:tblW w:w="0" w:type="auto"/>
        <w:tblInd w:w="-1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1315"/>
        <w:gridCol w:w="1287"/>
        <w:gridCol w:w="1406"/>
        <w:gridCol w:w="1266"/>
        <w:gridCol w:w="1255"/>
        <w:gridCol w:w="1201"/>
        <w:gridCol w:w="1201"/>
      </w:tblGrid>
      <w:tr w:rsidR="009B7318" w:rsidRPr="009B7318">
        <w:tc>
          <w:tcPr>
            <w:tcW w:w="1315"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Минеральн. удобрения,</w:t>
            </w:r>
          </w:p>
        </w:tc>
        <w:tc>
          <w:tcPr>
            <w:tcW w:w="1287"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азотные</w:t>
            </w:r>
          </w:p>
        </w:tc>
        <w:tc>
          <w:tcPr>
            <w:tcW w:w="140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фосфорные</w:t>
            </w:r>
          </w:p>
        </w:tc>
        <w:tc>
          <w:tcPr>
            <w:tcW w:w="126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Каустическ. сода</w:t>
            </w:r>
          </w:p>
        </w:tc>
        <w:tc>
          <w:tcPr>
            <w:tcW w:w="1255"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Химич. волокно</w:t>
            </w:r>
          </w:p>
        </w:tc>
        <w:tc>
          <w:tcPr>
            <w:tcW w:w="120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Синтетич. каучук</w:t>
            </w:r>
          </w:p>
        </w:tc>
        <w:tc>
          <w:tcPr>
            <w:tcW w:w="120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Пластмассы</w:t>
            </w:r>
          </w:p>
        </w:tc>
      </w:tr>
      <w:tr w:rsidR="009B7318" w:rsidRPr="009B7318">
        <w:tc>
          <w:tcPr>
            <w:tcW w:w="1315"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16,2</w:t>
            </w:r>
          </w:p>
        </w:tc>
        <w:tc>
          <w:tcPr>
            <w:tcW w:w="1287"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20,0</w:t>
            </w:r>
          </w:p>
        </w:tc>
        <w:tc>
          <w:tcPr>
            <w:tcW w:w="140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27,3</w:t>
            </w:r>
          </w:p>
        </w:tc>
        <w:tc>
          <w:tcPr>
            <w:tcW w:w="126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6,8</w:t>
            </w:r>
          </w:p>
        </w:tc>
        <w:tc>
          <w:tcPr>
            <w:tcW w:w="1255"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28,6</w:t>
            </w:r>
          </w:p>
        </w:tc>
        <w:tc>
          <w:tcPr>
            <w:tcW w:w="120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17,0</w:t>
            </w:r>
          </w:p>
        </w:tc>
        <w:tc>
          <w:tcPr>
            <w:tcW w:w="120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14,1</w:t>
            </w:r>
          </w:p>
        </w:tc>
      </w:tr>
    </w:tbl>
    <w:p w:rsidR="009B7318" w:rsidRDefault="009B7318">
      <w:pPr>
        <w:widowControl w:val="0"/>
        <w:spacing w:before="120"/>
        <w:ind w:firstLine="567"/>
        <w:jc w:val="both"/>
        <w:rPr>
          <w:rFonts w:ascii="Times New Roman" w:hAnsi="Times New Roman" w:cs="Times New Roman"/>
          <w:color w:val="000000"/>
        </w:rPr>
      </w:pP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ЦЭР занимает ведущее место по производству азотных и фосфорных удобрений. Крупнейшими поставщиками сложных удобрений (включая азотные) являются Новомосковское и Щекинское ПО “Азот” (Тульская обл.), Дорогобужский завод (Смоленская обл.). Фосфорные удобрения производит ПО “Минудобрения” в Воскресенске, использующее привозные апатитовые концентраты. На базе местных фосфоритов в Московской и Брянской областях производится фосфоритная мука. Производство синтетических смол и пластмасс сосредоточено в Московской и Тульской областях, изделий из пластмассы — в Москве, Московской (Орехово-Зуево, Жилево, Любучаны) и Смоленской (Сафоново) областях. Район занимает одно из ведущих мест в стране по выпуску химических волокон (Клин, Серпухов Московской области; Рязань, Тверь, Щекино и Шуя). Синтетический каучук производится в Ярославле и Ефремове на привозном нефтегазовом сырье. Ярославский и Московский шинные заводы выпускают примерно 1/4 часть производства шин, в этих же центрах сконцентрировано производство резинотехнических изделий, в Москве — резиновой обуви. Синтетические красители выпускаются в Ивановской области, лаки и краски — в Ярославской и Московской областях; здесь же локализуются новые производства — химических реактивов и фотохимическое.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 развитию химической и нефтехимической промышленности в ЦЭР выделяются Москва, Московская, Тульская и Ярославская области.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Легкая промышленность. Легкая промышленность района отличается высокой степенью концентрации, прежде всего текстильной промышленности. На долю легкой промышленности района приходится 1/3 часть производства отрасли, что объясняется наличием мощной производственной базы, крупных НИИ, квалифицированных кадров, широким потребительским спросом. Предприятия района производят почти 80% хлопчатобумажных тканей России, при этом на предприятиях Ивановской, Московской, Владимирской областей — 4/5 всего объема производства х/б тканей в районе. Крупнейший текстильный центр страны — Иваново.</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Предприятия шелковой промышленности, дающие 45% шелковых тканей, находятся в основном в столице и области, а также в Ивановской, Владимирской и Рязанской областях. Предприятия льняной промышленности, выпускающие также 80% всего объема льняных тканей РФ, расположены в местах произрастания сырья — льна-долгунца (Владимирская, Костромская, Ивановская и Ярославская области). Основной центр льняной промышленности — Кострома, но в последнее время появились предприятия и в Смоленской области. В районе производится 60% всего объема выпуска шерстяных тканей, но при этом на столичную область приходится 2/3 тканей района. Среди других областей выделяются Брянская, Ивановская и Тверская. Для текстильной промышленности района особенно характерны широкие межрайонные связи — вывозится 3/4 всей текстильной продукции, в том числе более 4/5 хлопчатобумажной.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Топливно-энергетический комплекс. ТЭК ЦЭР лишь частично удовлетворяет потребности района. Добыча угля в Подмосковном бассейне снижается.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Добыча угля в ЦЭР (Тульская область) в 1985-1992 гг., млн. т.</w:t>
      </w:r>
      <w:r>
        <w:rPr>
          <w:rStyle w:val="ad"/>
          <w:rFonts w:ascii="Times New Roman" w:hAnsi="Times New Roman" w:cs="Times New Roman"/>
          <w:color w:val="000000"/>
          <w:vertAlign w:val="baseline"/>
        </w:rPr>
        <w:t xml:space="preserve"> </w:t>
      </w:r>
      <w:r>
        <w:rPr>
          <w:rStyle w:val="ad"/>
          <w:rFonts w:ascii="Times New Roman" w:hAnsi="Times New Roman" w:cs="Times New Roman"/>
          <w:color w:val="000000"/>
          <w:vertAlign w:val="baseline"/>
        </w:rPr>
        <w:footnoteReference w:id="2"/>
      </w:r>
      <w:r>
        <w:rPr>
          <w:rFonts w:ascii="Times New Roman" w:hAnsi="Times New Roman" w:cs="Times New Roman"/>
          <w:color w:val="000000"/>
        </w:rPr>
        <w:t>)</w:t>
      </w:r>
    </w:p>
    <w:tbl>
      <w:tblPr>
        <w:tblW w:w="0" w:type="auto"/>
        <w:tblInd w:w="836"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953"/>
        <w:gridCol w:w="1173"/>
        <w:gridCol w:w="1313"/>
        <w:gridCol w:w="1372"/>
        <w:gridCol w:w="1252"/>
        <w:gridCol w:w="1166"/>
      </w:tblGrid>
      <w:tr w:rsidR="009B7318" w:rsidRPr="009B7318">
        <w:tc>
          <w:tcPr>
            <w:tcW w:w="953"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Год</w:t>
            </w:r>
          </w:p>
        </w:tc>
        <w:tc>
          <w:tcPr>
            <w:tcW w:w="1173"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1985</w:t>
            </w:r>
          </w:p>
        </w:tc>
        <w:tc>
          <w:tcPr>
            <w:tcW w:w="1313"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1986</w:t>
            </w:r>
          </w:p>
        </w:tc>
        <w:tc>
          <w:tcPr>
            <w:tcW w:w="1372"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1990</w:t>
            </w:r>
          </w:p>
        </w:tc>
        <w:tc>
          <w:tcPr>
            <w:tcW w:w="1252"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1991</w:t>
            </w:r>
          </w:p>
        </w:tc>
        <w:tc>
          <w:tcPr>
            <w:tcW w:w="116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1992</w:t>
            </w:r>
          </w:p>
        </w:tc>
      </w:tr>
      <w:tr w:rsidR="009B7318" w:rsidRPr="009B7318">
        <w:tc>
          <w:tcPr>
            <w:tcW w:w="953"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 xml:space="preserve">Добыча </w:t>
            </w:r>
          </w:p>
        </w:tc>
        <w:tc>
          <w:tcPr>
            <w:tcW w:w="1173"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17,3</w:t>
            </w:r>
          </w:p>
        </w:tc>
        <w:tc>
          <w:tcPr>
            <w:tcW w:w="1313"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16,9</w:t>
            </w:r>
          </w:p>
        </w:tc>
        <w:tc>
          <w:tcPr>
            <w:tcW w:w="1372"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12,3</w:t>
            </w:r>
          </w:p>
        </w:tc>
        <w:tc>
          <w:tcPr>
            <w:tcW w:w="1252"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9,8</w:t>
            </w:r>
          </w:p>
        </w:tc>
        <w:tc>
          <w:tcPr>
            <w:tcW w:w="116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8,4</w:t>
            </w:r>
          </w:p>
        </w:tc>
      </w:tr>
    </w:tbl>
    <w:p w:rsidR="009B7318" w:rsidRDefault="009B7318">
      <w:pPr>
        <w:widowControl w:val="0"/>
        <w:spacing w:before="120"/>
        <w:ind w:firstLine="567"/>
        <w:jc w:val="both"/>
        <w:rPr>
          <w:rFonts w:ascii="Times New Roman" w:hAnsi="Times New Roman" w:cs="Times New Roman"/>
          <w:color w:val="000000"/>
        </w:rPr>
      </w:pP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 добыче торфа ЦЭР занимает ведущее место в России. Здесь работают крупнейшие торфопредприятия мощностью 1-2 млн. т торфа в год. Большая часть продукции приходится на Московскую, Ярославскую и Тверскую области. Но в топливном балансе района доля местных видов топлива снизилась до 10-15%. Большая часть торфа используется не в энергетических целях, а для нужд сельского хозяйства.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Распределение отраслей ТЭК ЦЭР в 1992-1993 гг. (в % к итогу). </w:t>
      </w:r>
    </w:p>
    <w:tbl>
      <w:tblPr>
        <w:tblW w:w="0" w:type="auto"/>
        <w:tblInd w:w="-1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2180"/>
        <w:gridCol w:w="2251"/>
        <w:gridCol w:w="2391"/>
        <w:gridCol w:w="2251"/>
      </w:tblGrid>
      <w:tr w:rsidR="009B7318" w:rsidRPr="009B7318">
        <w:tc>
          <w:tcPr>
            <w:tcW w:w="2180"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Нефтепереработка</w:t>
            </w:r>
          </w:p>
        </w:tc>
        <w:tc>
          <w:tcPr>
            <w:tcW w:w="225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Угольная пром-ть</w:t>
            </w:r>
          </w:p>
        </w:tc>
        <w:tc>
          <w:tcPr>
            <w:tcW w:w="239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Электроэнергетика</w:t>
            </w:r>
          </w:p>
        </w:tc>
        <w:tc>
          <w:tcPr>
            <w:tcW w:w="2251"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Торфяная п-ть</w:t>
            </w:r>
          </w:p>
        </w:tc>
      </w:tr>
      <w:tr w:rsidR="009B7318" w:rsidRPr="009B7318">
        <w:tc>
          <w:tcPr>
            <w:tcW w:w="2180"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16,6</w:t>
            </w:r>
          </w:p>
        </w:tc>
        <w:tc>
          <w:tcPr>
            <w:tcW w:w="225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2,8</w:t>
            </w:r>
          </w:p>
        </w:tc>
        <w:tc>
          <w:tcPr>
            <w:tcW w:w="239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19,1</w:t>
            </w:r>
          </w:p>
        </w:tc>
        <w:tc>
          <w:tcPr>
            <w:tcW w:w="2251"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55,2</w:t>
            </w:r>
          </w:p>
        </w:tc>
      </w:tr>
    </w:tbl>
    <w:p w:rsidR="009B7318" w:rsidRDefault="009B7318">
      <w:pPr>
        <w:widowControl w:val="0"/>
        <w:spacing w:before="120"/>
        <w:ind w:firstLine="567"/>
        <w:jc w:val="both"/>
        <w:rPr>
          <w:rFonts w:ascii="Times New Roman" w:hAnsi="Times New Roman" w:cs="Times New Roman"/>
          <w:color w:val="000000"/>
        </w:rPr>
      </w:pP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настоящее время ЦЭР — один из ведущих в стране по выработке электрической и тепловой энергии.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Производство электроэнергии ЦЭР в 1985-1992 гг., млрд. кВт.ч.</w:t>
      </w:r>
      <w:r>
        <w:rPr>
          <w:rStyle w:val="ad"/>
          <w:rFonts w:ascii="Times New Roman" w:hAnsi="Times New Roman" w:cs="Times New Roman"/>
          <w:color w:val="000000"/>
          <w:vertAlign w:val="baseline"/>
        </w:rPr>
        <w:footnoteReference w:id="3"/>
      </w:r>
      <w:r>
        <w:rPr>
          <w:rFonts w:ascii="Times New Roman" w:hAnsi="Times New Roman" w:cs="Times New Roman"/>
          <w:color w:val="000000"/>
        </w:rPr>
        <w:t>)</w:t>
      </w:r>
    </w:p>
    <w:tbl>
      <w:tblPr>
        <w:tblW w:w="0" w:type="auto"/>
        <w:tblInd w:w="836"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1276"/>
        <w:gridCol w:w="1259"/>
        <w:gridCol w:w="1244"/>
        <w:gridCol w:w="1324"/>
        <w:gridCol w:w="1263"/>
        <w:gridCol w:w="1148"/>
      </w:tblGrid>
      <w:tr w:rsidR="009B7318" w:rsidRPr="009B7318">
        <w:tc>
          <w:tcPr>
            <w:tcW w:w="1276"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Год</w:t>
            </w:r>
          </w:p>
        </w:tc>
        <w:tc>
          <w:tcPr>
            <w:tcW w:w="1259"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1985</w:t>
            </w:r>
          </w:p>
        </w:tc>
        <w:tc>
          <w:tcPr>
            <w:tcW w:w="1244"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1986</w:t>
            </w:r>
          </w:p>
        </w:tc>
        <w:tc>
          <w:tcPr>
            <w:tcW w:w="1324"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1990</w:t>
            </w:r>
          </w:p>
        </w:tc>
        <w:tc>
          <w:tcPr>
            <w:tcW w:w="1263"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1991</w:t>
            </w:r>
          </w:p>
        </w:tc>
        <w:tc>
          <w:tcPr>
            <w:tcW w:w="1148" w:type="dxa"/>
            <w:tcBorders>
              <w:top w:val="single" w:sz="12" w:space="0" w:color="000000"/>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1992</w:t>
            </w:r>
          </w:p>
        </w:tc>
      </w:tr>
      <w:tr w:rsidR="009B7318" w:rsidRPr="009B7318">
        <w:tc>
          <w:tcPr>
            <w:tcW w:w="1276"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Пр-во э/эн.</w:t>
            </w:r>
          </w:p>
        </w:tc>
        <w:tc>
          <w:tcPr>
            <w:tcW w:w="1259"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169,3</w:t>
            </w:r>
          </w:p>
        </w:tc>
        <w:tc>
          <w:tcPr>
            <w:tcW w:w="1244"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177,4</w:t>
            </w:r>
          </w:p>
        </w:tc>
        <w:tc>
          <w:tcPr>
            <w:tcW w:w="1324"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203,3</w:t>
            </w:r>
          </w:p>
        </w:tc>
        <w:tc>
          <w:tcPr>
            <w:tcW w:w="1263"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207,3</w:t>
            </w:r>
          </w:p>
        </w:tc>
        <w:tc>
          <w:tcPr>
            <w:tcW w:w="1148" w:type="dxa"/>
            <w:tcBorders>
              <w:bottom w:val="single" w:sz="12" w:space="0" w:color="000000"/>
            </w:tcBorders>
          </w:tcPr>
          <w:p w:rsidR="009B7318" w:rsidRPr="009B7318" w:rsidRDefault="009B7318">
            <w:pPr>
              <w:widowControl w:val="0"/>
              <w:jc w:val="both"/>
              <w:rPr>
                <w:rFonts w:ascii="Times New Roman" w:hAnsi="Times New Roman" w:cs="Times New Roman"/>
                <w:color w:val="000000"/>
              </w:rPr>
            </w:pPr>
            <w:r w:rsidRPr="009B7318">
              <w:rPr>
                <w:rFonts w:ascii="Times New Roman" w:hAnsi="Times New Roman" w:cs="Times New Roman"/>
                <w:color w:val="000000"/>
              </w:rPr>
              <w:t>194,0</w:t>
            </w:r>
          </w:p>
        </w:tc>
      </w:tr>
    </w:tbl>
    <w:p w:rsidR="009B7318" w:rsidRDefault="009B7318">
      <w:pPr>
        <w:widowControl w:val="0"/>
        <w:spacing w:before="120"/>
        <w:ind w:firstLine="567"/>
        <w:jc w:val="both"/>
        <w:rPr>
          <w:rFonts w:ascii="Times New Roman" w:hAnsi="Times New Roman" w:cs="Times New Roman"/>
          <w:color w:val="000000"/>
        </w:rPr>
      </w:pP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Основу топливно-энергетического комплекса составляют крупные ГРЭС и ТЭЦ мощностью более 1 млн. кВт каждая — Конаковская, Костромская, Каширская, Рязанская ГРЭС, Московские ТЭЦ и др. Вслед за первой в стране атомной электростанцией — Обнинской — построены крупные АЭС: Смоленская, Тверская. Потребности ЦЭР в нефтепродуктах в значительной мере обеспечиваются Рязанским, Ярославским и Московским нефтеперерабатывающими заводами.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4. Территориальная организация хозяйства района. основные подрайоны и их специализация.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 территории ЦЭР можно выделить интегральные подрайоны, каждый из которых имеет достаточно выраженную народнохозяйственную специализацию. Важнейший из них — Москва с Московской областью.</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Москва и область. Москва — столица России, крупнейший административно-политический, индустриальный, транспортный, научный и культурный центр.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Город расположен в междуречье Оки и Волги, на реке Москве. Это крупный транспортный узел, где сходятся 11 железнодорожных линий, 15 автомобильных дорог. В Москве находятся 3 крупных речных порта (Западный, Северный и Южный) и 4 аэропорта, в том числе и международный.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Москве проживает 8881 тыс. чел.; в области — 6682 тыс. чел., из них 5316 тыс. (79,5%) — городское население [здесь и дальше данные из “Новой России”, на 1.01.1993.]. Площадь Московской области — 47,0 тыс. км2. Удельный вес подрайона в общем объеме продукции промышленности России в 1992 году — 7,3%.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Московская область по уровню промышленного потенциала уступает лишь Москве и Санкт-Петербургу (с областью). Машиностроение представлено производством разнообразного оборудования (металлорежущих станков, текстильных машин), тепловозов, сельскохозяйственных машин, автобусов, электротехнических изделий, приборов, фотоаппаратов, швейных машин и т. д. В числе основных предприятий области — коломенские заводы (тепловозостроительный и тяжелого станкостроения), ПО “Электростальтяжмаш”, “Метровагонмаш”, Подольский аккумуляторный завод, Люберецкий сельхозмашин им. Ухтомского, Ликино-Дулевский автобусный, а также предприятия в Дмитрове, Загорске, Климовске и др.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химическом комплексе производятся минеральные удобрения, серная кислота, синтетические смолы, химические волокна и нити, краски. Ведущие предприятия: воскресенское ПО “Минудобрения”, клинское и мытищинское ПО “Химволокно”, Загорский лакокрасочный завод, а также предприятия Щелкова, Орехова-Зуева и др.</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Основные центры текстильной промышленности — старейшей отрасли специализации — Орехово-Зуево, Ногинск, Павловский Посад, Егорьевск, Серпухов, Наро-Фоминск. Производят хлопчатобумажные, шерстяные, шелковые ткани и трикотаж.</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Промышленность стройматериалов производит цемент, кирпич, железобетонные конструкции, асбоцементные трубы.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пищевой индустрии города особенно развиты мясо-молочная, кондитерская, хлебопекарная, парфюмерно-косметическая и другие отрасли. Столица имеет мощную полиграфическую промышленность.</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Интенсивное сельское хозяйство пригородного направления специализируется на возделывании картофеля и овощей, а в животноводстве — на производстве молока и яиц. На каждого занятого в сельскохозяйственном производстве области приходится в 5 раз больше населения, чем в среднем по республике.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Научно-техническая революция сделала типичными для Подмосковья городскими поселения - центры науки: Дубна, Пущино, Протвино, Черноголовка, Менделеево, Троицк и др.</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Предприятия и организации области поставляют продукцию для экспорта практически во все страны Восточной Европы, а также в Африку, Азию, страны Западной Европы.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Восточный подрайон (Владимирская и Ивановская области). Площадь подрайона — 52,9 тыс. км2, численность населения — 2962 тыс. чел., из них 80% городского. Удельный вес подрайона в общем объеме продукции промышленности России в 1992 году — 2,3%. Промышленность подрайона производит около 2/3 льняных, более 1/3 хлопчатобумажных, примерно 1/6 шелковых и 1/8 шерстяных тканей; большую часть тракторов и около 1/3 экскаваторов в ЦЭР.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Ивановская область — крупнейший в стране регион текстильной промышленности. Основные центры хлопчатобумажного производства — Иваново, Кинешма, Шуя, Вичуга, Фурманов, Тейково, Родники. Льняная промышленность концентрируется в Приволжске, Кинешме, Вичуге и ряде других населенных пунктов.</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промышленности Владимирской области особое место занимают машиностроение, легкая и химическая промышленность; доля машиностроения в структуре промышленности превысила 2/5. Область специализируется на производстве продукции транспортного, сельскохозяйственного, подъемно-транспортного машиностроения, электротехнической и приборостроительной промышленности. Удельный вес легкой промышленности Владимирской области имеет тенденцию к сокращению. Машиностроение Ивановской области представлено такими его отраслями, как текстильная, станкостроение и строительно-дорожная. Крупнейшие предприятия находятся в Иванове.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Предприятия химической промышленности Владимирской области выпускают синтетические смолы и пластмассы, стеклопластик и полимерную пленку; в Ивановской — красители и кислоты для нужд текстильной промышленности.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Владимирская область славится центрами народных промыслов — миниатюрная живопись и вышивка; Гусь-Хрустальный — известный далеко за пределами страны центр, где издавна производились художественные изделия из хрусталя и цветного стекла. Всемирную известность имеют Палех и Холуй — старинные центры художественных промыслов в Ивановской области (роспись лаковых изделий, миниатюрная живопись).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Промышленное производство сконцентрировано во Владимире. Отрасль представляют тракторный завод, химические предприятия, завод “Автоприбор” и др. Среди других промышленных центров — Ковров, где действует крупный завод экскаваторов, размещено производство чулочных автоматов, циферблатных весов, хлопчатобумажный комбинат; Муром, где находятся тепловозостроительный и радиозаводы, предприятия текстильной и деревообрабатывающей промышленности.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В Ивановской области большое значение имеет пищевая промышленность. Здесь выпускают мясо-молочную продукцию, консервы и т. д. Лесная и деревообрабатывающая промышленность производит лесо- и пиломатериалы, мебель. Деревообработка сконцентрирована в основном в заволжской и юго-восточной частях области. Промышленность стройматериалов производит строительный кирпич, сборные железобетонные конструкции и детали.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Северо-Восточный подрайон (Ярославская и Костромская области). Площадь подрайона — 96,5 тыс. км2, численность населения — 2279 тыс. чел., в том числе 75,8% городского. Удельный вес подрайона в общем объеме продукции промышленности России в 1992 году — 2%.</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Особенности экономико-географического положения подрайона определяются его широким выходом к верхней Волге. Основной экономический ареал сформировался вдоль Волги от Рыбинска через Ярославль на Кострому.</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Здесь сконцентрированы основные городские поселения с предприятиями машиностроительной, химической и легкой промышленности — основными отраслями специализации подрайона. На предприятиях машиностроения производятся металлорежущие, деревообрабатывающие станки, экскаваторы, прядильные машины (Костромская обл.). Машиностроение Ярославской области специализируется на судостроении, производстве двигателей, электромоторов, оборудования для химической, деревообрабатывающей и других отраслей промышленности. В Ярославле сосредоточены крупные машиностроительные предприятия, ряд заводов химического машиностроения. Рыбинск — центр полиграфического машиностроения, моторо- и судостроения. В Угличе работает известный на всю страну часовой завод, в Данилове — завод деревообрабатывающих станков. Химическая промышленность тесно кооперируется с машиностроением. В Ярославле работают нефтеперерабатывающие заводы, заводы синтетического каучука, шинный, лакокрасочный, в Переславле-Залесском — кинофотохимическое производство.</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Важное место в экономике Костромской области занимает лесной комплекс. Здесь производятся древесноволокнистые и древесностружечные плиты, картон. В Шарье действует домостроительный комбинат, лесозаводы — в Нее, Мантурове, фанерные заводы — в Костроме, Мантурове, бумажная фабрика — в Александрове. Промышленность строительных материалов производит сборные железобетонные конструкции и детали, строительный кирпич, стекло, щебень, гравий. Пищевая промышленность представлена маслодельным, сыроваренным заводами, крупяными фабриками и мясокомбинатами. В области действует одна из крупнейших в Центральном районе Костромская ГРЭС.</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Среди предприятий легкой промышленности Ярославской области — “Красный Перекоп”, производящий хлопчатобумажную пряжу и технические ткани, Ярославская кордная фабрика, льнокомбинаты в городах Гаврилов-Ям и Тутаев. Легкая промышленность Костромской области представлена швейной, трикотажной, обувной отраслями. Льняная промышленность развивается на собственной сырьевой базе (Кострома, Нерехта).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Северо-Западный подрайон (Тверская и Смоленская области). Площадь подрайона — 133,9 тыс. км2, численность населения — 2828 тыс. чел., из них 70,9% городского. Удельный вес подрайона в общем объеме продукции промышленности России в 1992 году — 1,5%.</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Ведущее место в Тверской области занимает легкая промышленность. Наибольшее значение имеет хлопчатобумажная промышленность — по объемам производства в ЦЭР область уступает только столичному региону, Владимирской и Ивановской областям. Хлопчатобумажные предприятия расположены в Твери и Вышнем Волочке. По производству обуви область уступает только Москве. Кожевенно-обувные производства действуют в Осташкове, Торжке, Твери, Кимрах. По производству трикотажных изделий Тверская область уступает только столичному региону и Смоленской области. Предприятия этой отрасли находятся в Твери, Кимрах и Вышнем Волочке. Первичная переработка льна ведется в Бежецке, Кашине, Сонкове, крупная льночесальная фабрика — в Ржеве. Все эти предприятия используют собственную сырьевую базу. Легкая промышленность Смоленской области представлена многочисленными предприятиями по переработке льна, в том числе Смоленским и Вяземским льнокомбинатами, работающими на собственной ресурсной базе. Крупный хлопчатобумажный комбинат расположен в Ярцеве, функционируют кожевенно-обувные предприятия.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 Ведущая отрасль промышленного комплекса Смоленской области — машиностроение и металлообработка — представлена электротехнической промышленностью, строительно-дорожным и энергетическим машиностроением. Главный центр машиностроения — Смоленск, где производят дорожные машины, средства автоматизации технологических процессов, радиодетали, электролампы. Среди других центров машиностроения выделяются Ярцево (производство ткацких и прядильных станков), Сафоново (приборостроение) и Рославль (энергетическое оборудование). В составе промышленности Тверской области машиностроение также занимает существенное место. Предприятия отрасли производят металлорежущие станки, кузнечно-прессовые, сельскохозяйственные машины, экскаваторы, башенные краны, льноуборочные машины. Крупные предприятия в Твери, Нелидово, Кимры и др.</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Развита также промышленность строительных материалов на местной сырьевой базе: кирпичные заводы — в Смоленске, Рославле, Вязьме, Сафонове, заводы железобетонных изделий — в Смоленске, Сафонове, Гнездове. В Тверской области широко известны предприятия по производству стекла и фаянса.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Почти 1/5 часть объема вывозки древесины и производства пиломатериалов в Центре приходится на Тверскую область. Лесопильные заводы размещены в Максатихе и Вышнем Волочке, целлюлозно-бумажный комбинат — в Нелидове.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ТЭК Смоленской области базируется на использовании собственных месторождений торфа и бурого угля (Сафоново), действует Дорогобужская ГРЭС на буром угле. Работает Смоленская АЭС. Около 1/2 вырабатываемой в Тверской области электроэнергии приходится на Тверскую АЭС.</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Химическая промышленность представлена дорогобужским ПО “Минудобрения”, работающим на привозном газе, а также Сафоновским заводом пластмасс. Пищевая промышленность работает на собственной сырьевой базе. Маслодельные заводы расположены в Ельне, Глинке, Монастырщине и др. центрах, молочноконсервные заводы — в Гагарине, Рудне, Кардымове, мясокомбинаты — в Смоленске, Вязьме, Рославле.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Южный подрайон (Орловская, Брянская, Тульская, Рязанская, Калужская области). Площадь подрайона — 154,8 тыс. км2, численность населения — 6645 тыс. чел., в том числе 71,8% городского. Удельный вес подрайона в общем объеме продукции промышленности России в 1992 году — 3,7%. Индустрия подрайона дополняет промышленный комплекс ЦЭР главным образом машиностроением, электроэнергетикой на базе угольной промышленности, черной металлургией, химической промышленностью.</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Машиностроение представлено по всему подрайону и сосредоточено в Калуге (заводы турбинный, электротехнический и др.), Людинове (тепловозостроение), Кирове (литейно-механические, чугунолитейные заводы), Орле (текстильные машины, приборы, часы, оборудование для пищевой промышленности), Ливнах (гидромашины, противопожарное оборудование), Мценскъе (филиал ЗИЛа), Туле (сельскохозяйственные, транспортные машины, станки, изделия точного машиностроения), Рязани, Скопине (точное машиностроение, станкостроение, строительно-дорожное и энергетическое машиностроение), Брянской области (тепловозы, железнодорожные вагоны, грузовые автомобили, станки, экскаваторы, приборы и др.).</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Легкая промышленность представлена швейными и обувными фабриками в Калуге, Кондрове, Кирове, Сухиничах, Орле, Ливнах, суконными фабриками в Боровске, Клинцах, трикотажными фабриками в Калуге и Боровске. Проходящие по территории Рязанской области транспортные пути из Москвы в южные и юго-восточные районы европейской части страны способствуют развитию здесь легкой промышленности. В Рязани, Касимове, Мурмине, Спасске-Рязанском находятся предприятия шерстяной, швейной и кожевенно-обувной промышленности.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Предприятия химической промышленности Тульской области производят азотные удобрения, синтетический каучук, фенолы, ядохимикаты, синтетические смолы, пластмассы и размещены в Новомосковске, Ефремове, Щекине. Предприятия химико-лесного комплекса Рязанской области специализируются на производстве минеральных удобрений, серной кислоты, химических волокон и нитей, заготовке деловой древесины, производстве картона. В Брянской области производят минеральные удобрения, бумагу и картон на базе собственных ресурсов; действуют лесопильные, фанерные и мебельные предприятия.</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На долю Тульской области приходится основная часть добычи угля Подмосковного буроугольного бассейна. На этом угле работают ГРЭС — Щекинская, Новомосковская, Черепетская. В Рязанской области также добывают бурый уголь и торф, который используется для производства электроэнергии. </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Металлургическая промышленность Тульской области — старейшая отрасль, работает на рудах Курской магнитной аномалии и на местном сырье. Металлургические заводы: Новотульский и Косогорский. Черная металлургия в Орловской области представлена в основном сталепрокатным производством в Орле.</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 всех областях подрайона представлена промышленность строительных материалов, которая производит стекло, строительный фаянс, кирпич, железобетонные изделия, цемент, шифер.</w:t>
      </w:r>
    </w:p>
    <w:p w:rsidR="009B7318" w:rsidRDefault="009B731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5. ПРИОРИТЕТНЫЕ НАПРАВЛЕНИЯ ДАЛЬНЕЙШЕГО РАЗВИТИЯ И РАЗМЕЩЕНИЯ ПРОИЗВОДИТЕЛЬНЫХ СИЛ ЦЭР.</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Развитие производительных сил ЦЭР на перспективу определяется его экономическими и природными особенностями: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общий высокий уровень развития и диверсификации экономики, особенно промышленности;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ведущее положение района в развитии научно-технического прогресса;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обеспеченность квалифицированными трудовыми ресурсами;</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центральное положение среди других развитых районов и высокий уровень развития транспортно-экономических связей;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влияние Москвы — крупнейшего индустриально-транспортного узла, научного и культурного центра страны — на развитие ЦЭР очень велико.</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перспективе район сохранит ориентацию на развитие преимущественно обрабатывающих отраслей промышленности с пониженной материало- и энергоемкостью, но требующих высококвалифицированного труда.</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Ухудшение экологических условий окружающей среды требует изменения подхода к развитию промышленного потенциала, размещения промышленных новостроек в малых городах и ПГТ на территории менее развитых в индустриальном отношении областей — Брянской, Тверской, Калужской, Костромской, Орловской, Рязанской, Смоленской. Существует необходимость в ограничении роста промышленности и населения крупных городов, Московской и Тульско-Новомосковской городских агломераций, а также в устранении диспропорций в структуре трудоиспользования в Ивановской области и ряде городских поселений других областей.</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 перспективе машиностроение и металлообработка ЦЭР будут определять научно-технический прогресс промышленности района. Преимущественными направлениями развития машиностроения в районе по-прежнему будут отрасли точного и сложного машиностроения, ориентирующиеся на использование наиболее квалифицированного труда. Главное внимание будет уделено реконструкции и техническому перевооружению действующих машиностроительных предприятий. В сложившихся и формирующихся машиностроительных территориальных группировках и узлах дальнейшее развитие получит внутри- и межотраслевая кооперация. В связи с созданием высокоспециализированных предприятий целесообразна деконцентрация крупных заводов, особенно Москвы и других областных центров, путем организации их филиалов и смежников на периферийных территориях ЦЭР, в том числе в малых и средних городах.</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Перспективное размещение заводов автомобильной промышленности ЦЭР складывается под воздействием ряда факторов, которые свойственны и другим отраслям машиностроения. Это, во-первых, разукрупнение прежних универсальных заводов и выделение из их числа специализированных “дочерних” предприятий. Во-вторых, создание производственных объединений во главе с основным предприятием.</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Перспективное развитие отдельных отраслей химической промышленности района, особенно химии органического синтеза, будет ограничиваться в связи с недостаточными сырьевыми, топливными и водными ресурсами, а также с учетом охраны окружающей среды.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Перспективы топливоснабжения района связаны с ориентацией на поступление различных видов высокоэффективного топлива извне. Поступление нефти, природного газа и энергетических углей планируется осуществлять в основном из восточных районов страны, недостающего мазута — с поволжских нефтеперерабатывающих заводов.</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Возрастающее электропотребление района в перспективе будет удовлетворяться также за счет передачи энергии электронным транспортом не только из соседних энергосистем, но и из восточных районов.</w:t>
      </w:r>
    </w:p>
    <w:p w:rsidR="009B7318" w:rsidRDefault="009B7318">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Список литературы</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1. Минц А.А.  Центральный район (экономико-географический очерк). М.: Государственное учебно-педагогическое издательство, 1963 год.</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2. Гохберг М.Я., Соловьев Н.А. Проблемы развития и размещения производительных сил Центрального района. М.: “Мысль”, 1975.</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3. Развитие и размещение производительных сил СССР: Центральный экономический район. Под редакцией Э.Б. Алаева. М.: “Наука”, 1973.</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4. Бизнес-карта России. Социально-экономический потенциал. [Справочник в 18 книгах. Сост. Кушаков, Самохвалов]. Книги 14, 15, 16. М., 1993.</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5. Новая Россия. Информационно-статистический альманах. М.: СП “Вся Москва”, 1994.</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6. Центральный район. Экономико-географическая характеристика. Под редакцией С.Н. Рязанцева. М.: Государственное издательство географической литературы, 1962.</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7. Размещение производительных сил. Тексты лекций. Российская экономическая академия им. Г.В. Плеханова. М.: 1993.</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8. Народное хозяйство РСФСР в 1990 г.: Статистический ежегодник. М.: 1991.</w:t>
      </w:r>
    </w:p>
    <w:p w:rsidR="009B7318" w:rsidRDefault="009B7318">
      <w:pPr>
        <w:widowControl w:val="0"/>
        <w:spacing w:before="120"/>
        <w:ind w:firstLine="567"/>
        <w:jc w:val="both"/>
        <w:rPr>
          <w:rFonts w:ascii="Times New Roman" w:hAnsi="Times New Roman" w:cs="Times New Roman"/>
          <w:color w:val="000000"/>
        </w:rPr>
      </w:pPr>
      <w:r>
        <w:rPr>
          <w:rFonts w:ascii="Times New Roman" w:hAnsi="Times New Roman" w:cs="Times New Roman"/>
          <w:color w:val="000000"/>
        </w:rPr>
        <w:t xml:space="preserve">9. “Российская Федерация и регионы Центрального экономического района в 1991 году”. М.: 1992 год. </w:t>
      </w:r>
    </w:p>
    <w:p w:rsidR="009B7318" w:rsidRDefault="009B7318">
      <w:pPr>
        <w:widowControl w:val="0"/>
        <w:spacing w:before="120"/>
        <w:ind w:firstLine="590"/>
        <w:jc w:val="both"/>
        <w:rPr>
          <w:rFonts w:ascii="Times New Roman" w:hAnsi="Times New Roman" w:cs="Times New Roman"/>
          <w:color w:val="000000"/>
        </w:rPr>
      </w:pPr>
    </w:p>
    <w:sectPr w:rsidR="009B7318">
      <w:pgSz w:w="11907" w:h="16840"/>
      <w:pgMar w:top="1134" w:right="1134" w:bottom="1134" w:left="1134" w:header="1440" w:footer="1440" w:gutter="0"/>
      <w:cols w:space="720"/>
      <w:noEndnote/>
      <w:docGrid w:linePitch="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7318" w:rsidRDefault="009B7318">
      <w:r>
        <w:separator/>
      </w:r>
    </w:p>
  </w:endnote>
  <w:endnote w:type="continuationSeparator" w:id="0">
    <w:p w:rsidR="009B7318" w:rsidRDefault="009B73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7318" w:rsidRDefault="009B7318">
      <w:r>
        <w:separator/>
      </w:r>
    </w:p>
  </w:footnote>
  <w:footnote w:type="continuationSeparator" w:id="0">
    <w:p w:rsidR="009B7318" w:rsidRDefault="009B7318">
      <w:r>
        <w:continuationSeparator/>
      </w:r>
    </w:p>
  </w:footnote>
  <w:footnote w:id="1">
    <w:p w:rsidR="009B7318" w:rsidRDefault="009B7318">
      <w:pPr>
        <w:pStyle w:val="ab"/>
      </w:pPr>
      <w:r>
        <w:rPr>
          <w:rStyle w:val="ad"/>
          <w:sz w:val="22"/>
          <w:szCs w:val="22"/>
        </w:rPr>
        <w:footnoteRef/>
      </w:r>
      <w:r>
        <w:rPr>
          <w:sz w:val="22"/>
          <w:szCs w:val="22"/>
        </w:rPr>
        <w:t xml:space="preserve"> . Таблица взята из информационно-статистического альманаха “Новая Россия” (М.:      СП “Вся Москва” 1994).</w:t>
      </w:r>
    </w:p>
  </w:footnote>
  <w:footnote w:id="2">
    <w:p w:rsidR="009B7318" w:rsidRDefault="009B7318">
      <w:pPr>
        <w:pStyle w:val="ab"/>
      </w:pPr>
      <w:r>
        <w:rPr>
          <w:rStyle w:val="ad"/>
          <w:sz w:val="22"/>
          <w:szCs w:val="22"/>
        </w:rPr>
        <w:footnoteRef/>
      </w:r>
      <w:r>
        <w:rPr>
          <w:sz w:val="22"/>
          <w:szCs w:val="22"/>
        </w:rPr>
        <w:t xml:space="preserve"> ,</w:t>
      </w:r>
      <w:r>
        <w:rPr>
          <w:sz w:val="22"/>
          <w:szCs w:val="22"/>
          <w:vertAlign w:val="superscript"/>
        </w:rPr>
        <w:t>3</w:t>
      </w:r>
      <w:r>
        <w:t xml:space="preserve">.  </w:t>
      </w:r>
      <w:r>
        <w:rPr>
          <w:sz w:val="22"/>
          <w:szCs w:val="22"/>
        </w:rPr>
        <w:t>Таблицы из информационно-статистического альманаха “Новая Россия” (М.:      СП “Вся Москва” 1994).</w:t>
      </w:r>
    </w:p>
  </w:footnote>
  <w:footnote w:id="3">
    <w:p w:rsidR="009B7318" w:rsidRDefault="009B7318">
      <w:pPr>
        <w:pStyle w:val="ab"/>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DB66840"/>
    <w:lvl w:ilvl="0">
      <w:numFmt w:val="decimal"/>
      <w:lvlText w:val="*"/>
      <w:lvlJc w:val="left"/>
    </w:lvl>
  </w:abstractNum>
  <w:num w:numId="1">
    <w:abstractNumId w:val="0"/>
    <w:lvlOverride w:ilvl="0">
      <w:lvl w:ilvl="0">
        <w:start w:val="1"/>
        <w:numFmt w:val="bullet"/>
        <w:lvlText w:val=""/>
        <w:legacy w:legacy="1" w:legacySpace="0" w:legacyIndent="283"/>
        <w:lvlJc w:val="left"/>
        <w:pPr>
          <w:ind w:left="850" w:hanging="283"/>
        </w:pPr>
        <w:rPr>
          <w:rFonts w:ascii="Symbol" w:hAnsi="Symbol" w:cs="Symbol" w:hint="default"/>
        </w:rPr>
      </w:lvl>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170"/>
  <w:doNotHyphenateCaps/>
  <w:drawingGridHorizontalSpacing w:val="71"/>
  <w:drawingGridVerticalSpacing w:val="48"/>
  <w:displayVerticalDrawingGridEvery w:val="0"/>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0E8B"/>
    <w:rsid w:val="00240E8B"/>
    <w:rsid w:val="00354ECC"/>
    <w:rsid w:val="009B7318"/>
    <w:rsid w:val="00F36235"/>
    <w:rsid w:val="00F7326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annotation text" w:unhideWhenUsed="0"/>
    <w:lsdException w:name="header" w:unhideWhenUsed="0"/>
    <w:lsdException w:name="footer" w:unhideWhenUsed="0"/>
    <w:lsdException w:name="caption" w:uiPriority="35" w:qFormat="1"/>
    <w:lsdException w:name="footnote reference" w:unhideWhenUsed="0"/>
    <w:lsdException w:name="annotation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rFonts w:ascii="Arial" w:hAnsi="Arial" w:cs="Arial"/>
      <w:sz w:val="24"/>
      <w:szCs w:val="24"/>
      <w:lang w:val="ru-RU" w:eastAsia="ru-RU"/>
    </w:rPr>
  </w:style>
  <w:style w:type="paragraph" w:styleId="1">
    <w:name w:val="heading 1"/>
    <w:basedOn w:val="a"/>
    <w:next w:val="a"/>
    <w:link w:val="10"/>
    <w:uiPriority w:val="99"/>
    <w:qFormat/>
    <w:pPr>
      <w:keepNext/>
      <w:spacing w:before="240" w:after="60"/>
      <w:outlineLvl w:val="0"/>
    </w:pPr>
    <w:rPr>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header"/>
    <w:basedOn w:val="a"/>
    <w:link w:val="a4"/>
    <w:uiPriority w:val="99"/>
    <w:pPr>
      <w:tabs>
        <w:tab w:val="center" w:pos="4536"/>
        <w:tab w:val="right" w:pos="9072"/>
      </w:tabs>
    </w:pPr>
  </w:style>
  <w:style w:type="character" w:customStyle="1" w:styleId="a4">
    <w:name w:val="Верхний колонтитул Знак"/>
    <w:link w:val="a3"/>
    <w:uiPriority w:val="99"/>
    <w:semiHidden/>
    <w:rPr>
      <w:rFonts w:ascii="Arial" w:hAnsi="Arial" w:cs="Arial"/>
      <w:sz w:val="24"/>
      <w:szCs w:val="24"/>
    </w:rPr>
  </w:style>
  <w:style w:type="paragraph" w:styleId="a5">
    <w:name w:val="footer"/>
    <w:basedOn w:val="a"/>
    <w:link w:val="a6"/>
    <w:uiPriority w:val="99"/>
    <w:pPr>
      <w:tabs>
        <w:tab w:val="center" w:pos="4536"/>
        <w:tab w:val="right" w:pos="9072"/>
      </w:tabs>
    </w:pPr>
  </w:style>
  <w:style w:type="character" w:customStyle="1" w:styleId="a6">
    <w:name w:val="Нижний колонтитул Знак"/>
    <w:link w:val="a5"/>
    <w:uiPriority w:val="99"/>
    <w:semiHidden/>
    <w:rPr>
      <w:rFonts w:ascii="Arial" w:hAnsi="Arial" w:cs="Arial"/>
      <w:sz w:val="24"/>
      <w:szCs w:val="24"/>
    </w:rPr>
  </w:style>
  <w:style w:type="character" w:styleId="a7">
    <w:name w:val="page number"/>
    <w:uiPriority w:val="99"/>
  </w:style>
  <w:style w:type="character" w:styleId="a8">
    <w:name w:val="annotation reference"/>
    <w:uiPriority w:val="99"/>
    <w:rPr>
      <w:sz w:val="16"/>
      <w:szCs w:val="16"/>
    </w:rPr>
  </w:style>
  <w:style w:type="paragraph" w:styleId="a9">
    <w:name w:val="annotation text"/>
    <w:basedOn w:val="a"/>
    <w:link w:val="aa"/>
    <w:uiPriority w:val="99"/>
  </w:style>
  <w:style w:type="character" w:customStyle="1" w:styleId="aa">
    <w:name w:val="Текст примечания Знак"/>
    <w:link w:val="a9"/>
    <w:uiPriority w:val="99"/>
    <w:semiHidden/>
    <w:rPr>
      <w:rFonts w:ascii="Arial" w:hAnsi="Arial" w:cs="Arial"/>
      <w:sz w:val="20"/>
      <w:szCs w:val="20"/>
    </w:rPr>
  </w:style>
  <w:style w:type="paragraph" w:styleId="ab">
    <w:name w:val="footnote text"/>
    <w:basedOn w:val="a"/>
    <w:link w:val="ac"/>
    <w:uiPriority w:val="99"/>
  </w:style>
  <w:style w:type="character" w:customStyle="1" w:styleId="ac">
    <w:name w:val="Текст сноски Знак"/>
    <w:link w:val="ab"/>
    <w:uiPriority w:val="99"/>
    <w:semiHidden/>
    <w:rPr>
      <w:rFonts w:ascii="Arial" w:hAnsi="Arial" w:cs="Arial"/>
      <w:sz w:val="20"/>
      <w:szCs w:val="20"/>
    </w:rPr>
  </w:style>
  <w:style w:type="character" w:styleId="ad">
    <w:name w:val="footnote reference"/>
    <w:uiPriority w:val="99"/>
    <w:rPr>
      <w:vertAlign w:val="superscript"/>
    </w:rPr>
  </w:style>
  <w:style w:type="character" w:styleId="ae">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5183</Words>
  <Characters>38625</Characters>
  <Application>Microsoft Office Word</Application>
  <DocSecurity>0</DocSecurity>
  <Lines>723</Lines>
  <Paragraphs>215</Paragraphs>
  <ScaleCrop>false</ScaleCrop>
  <HeadingPairs>
    <vt:vector size="2" baseType="variant">
      <vt:variant>
        <vt:lpstr>Название</vt:lpstr>
      </vt:variant>
      <vt:variant>
        <vt:i4>1</vt:i4>
      </vt:variant>
    </vt:vector>
  </HeadingPairs>
  <TitlesOfParts>
    <vt:vector size="1" baseType="lpstr">
      <vt:lpstr>Центральный Экономический Район</vt:lpstr>
    </vt:vector>
  </TitlesOfParts>
  <Company/>
  <LinksUpToDate>false</LinksUpToDate>
  <CharactersWithSpaces>43721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Центральный Экономический Район</dc:title>
  <dc:subject/>
  <dc:creator/>
  <cp:keywords>ЦЭР</cp:keywords>
  <dc:description/>
  <cp:lastModifiedBy>Alex</cp:lastModifiedBy>
  <cp:revision>2</cp:revision>
  <dcterms:created xsi:type="dcterms:W3CDTF">2016-12-18T20:32:00Z</dcterms:created>
  <dcterms:modified xsi:type="dcterms:W3CDTF">2016-12-18T20:32:00Z</dcterms:modified>
</cp:coreProperties>
</file>