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7E" w:rsidRPr="00DD6A7E" w:rsidRDefault="00DD6A7E" w:rsidP="00DD6A7E">
      <w:pPr>
        <w:ind w:firstLine="284"/>
        <w:jc w:val="both"/>
        <w:rPr>
          <w:b/>
          <w:i/>
          <w:sz w:val="28"/>
          <w:szCs w:val="28"/>
        </w:rPr>
      </w:pPr>
      <w:r w:rsidRPr="00DD6A7E">
        <w:rPr>
          <w:b/>
          <w:i/>
          <w:sz w:val="28"/>
          <w:szCs w:val="28"/>
        </w:rPr>
        <w:t>Задание 18.</w:t>
      </w:r>
    </w:p>
    <w:p w:rsidR="00DD6A7E" w:rsidRDefault="00DD6A7E" w:rsidP="00DD6A7E">
      <w:pPr>
        <w:ind w:firstLine="284"/>
        <w:jc w:val="both"/>
        <w:rPr>
          <w:i/>
          <w:sz w:val="28"/>
          <w:szCs w:val="28"/>
        </w:rPr>
      </w:pPr>
    </w:p>
    <w:p w:rsidR="00177265" w:rsidRDefault="00DD6A7E" w:rsidP="00DD6A7E">
      <w:pPr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Расчёты между субъектами хозяйствование по средствам банковского кредитового перевода, их виды, случаи применения, документооборот, недостатки и достоинства.</w:t>
      </w:r>
    </w:p>
    <w:p w:rsidR="00DD6A7E" w:rsidRDefault="00DD6A7E" w:rsidP="00DD6A7E">
      <w:pPr>
        <w:ind w:firstLine="284"/>
        <w:jc w:val="both"/>
        <w:rPr>
          <w:i/>
          <w:sz w:val="28"/>
          <w:szCs w:val="28"/>
        </w:rPr>
      </w:pPr>
    </w:p>
    <w:p w:rsidR="00DD6A7E" w:rsidRDefault="00DD6A7E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b/>
          <w:i/>
          <w:sz w:val="28"/>
          <w:szCs w:val="28"/>
        </w:rPr>
        <w:t>Ответ на задание 18</w:t>
      </w:r>
      <w:r>
        <w:rPr>
          <w:i/>
          <w:sz w:val="28"/>
          <w:szCs w:val="28"/>
        </w:rPr>
        <w:t>.</w:t>
      </w:r>
    </w:p>
    <w:p w:rsidR="00DD6A7E" w:rsidRPr="00DD6A7E" w:rsidRDefault="00DD6A7E" w:rsidP="00DD6A7E">
      <w:pPr>
        <w:ind w:firstLine="284"/>
        <w:jc w:val="both"/>
        <w:rPr>
          <w:i/>
          <w:sz w:val="28"/>
          <w:szCs w:val="28"/>
        </w:rPr>
      </w:pP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Одной из самых универсальных форм расчетов является банковский перевод.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Банковский перевод одна из основных форм международных расчетов. При этой форме расчетов банк принимает на себя обязательство по поручению плательщика за счет средств, находящихся на его счете, перевести в обусловленный срок определенную денежную сумму на счет указанного плательщиком лица (бенефициара) в этом или ином банке.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Банковский перевод всегда осуществляется в форме кредитового перевода. Как и другие формы финансовых расчетов, он осуществляется в безналичной форме.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Участниками банковского перевода являются: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перевододатель - лицо, выдающее первое платежное поручение в ходе кредитовой) перевода;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бенефициар - лицо, указанное в платежном поручении перевододателя в качестве получателя сре</w:t>
      </w:r>
      <w:proofErr w:type="gramStart"/>
      <w:r w:rsidR="00177265" w:rsidRPr="00DD6A7E">
        <w:rPr>
          <w:i/>
          <w:sz w:val="28"/>
          <w:szCs w:val="28"/>
        </w:rPr>
        <w:t>дств в р</w:t>
      </w:r>
      <w:proofErr w:type="gramEnd"/>
      <w:r w:rsidR="00177265" w:rsidRPr="00DD6A7E">
        <w:rPr>
          <w:i/>
          <w:sz w:val="28"/>
          <w:szCs w:val="28"/>
        </w:rPr>
        <w:t>езультате кредитового перевода;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банк-получатель - банк, который получает платежное поручение;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банк-посредник - любой банк-получатель, не являющийся банком перевододателя и банком бенефициара.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177265" w:rsidRPr="00DD6A7E">
        <w:rPr>
          <w:i/>
          <w:sz w:val="28"/>
          <w:szCs w:val="28"/>
        </w:rPr>
        <w:t>Банковские переводы осуществляются посредством платежных поручений, а также (при наличии межбанковской договоренности) посредством чеков и иных расчетных документов.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 xml:space="preserve">Расчеты в форме банковского перевода по валютным операциям коммерческого характера можно отразить следующим образом: </w:t>
      </w:r>
    </w:p>
    <w:p w:rsidR="00177265" w:rsidRPr="00DD6A7E" w:rsidRDefault="00DD6A7E" w:rsidP="00DD6A7E">
      <w:pPr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 xml:space="preserve">Заключение контракта, в котором указываются условия и форма расчетов, а также банки через которые будут </w:t>
      </w:r>
      <w:proofErr w:type="gramStart"/>
      <w:r w:rsidR="00177265" w:rsidRPr="00DD6A7E">
        <w:rPr>
          <w:i/>
          <w:sz w:val="28"/>
          <w:szCs w:val="28"/>
        </w:rPr>
        <w:t>производится</w:t>
      </w:r>
      <w:proofErr w:type="gramEnd"/>
      <w:r w:rsidR="00177265" w:rsidRPr="00DD6A7E">
        <w:rPr>
          <w:i/>
          <w:sz w:val="28"/>
          <w:szCs w:val="28"/>
        </w:rPr>
        <w:t xml:space="preserve"> расчеты.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Отгрузка экспортером товара в соответствии с условиями контракта.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 </w:t>
      </w:r>
      <w:r w:rsidR="00177265" w:rsidRPr="00DD6A7E">
        <w:rPr>
          <w:i/>
          <w:sz w:val="28"/>
          <w:szCs w:val="28"/>
        </w:rPr>
        <w:t>Предоставление импортером в свой банк поручени</w:t>
      </w:r>
      <w:proofErr w:type="gramStart"/>
      <w:r w:rsidR="00177265" w:rsidRPr="00DD6A7E">
        <w:rPr>
          <w:i/>
          <w:sz w:val="28"/>
          <w:szCs w:val="28"/>
        </w:rPr>
        <w:t>я(</w:t>
      </w:r>
      <w:proofErr w:type="gramEnd"/>
      <w:r w:rsidR="00177265" w:rsidRPr="00DD6A7E">
        <w:rPr>
          <w:i/>
          <w:sz w:val="28"/>
          <w:szCs w:val="28"/>
        </w:rPr>
        <w:t>заявления) на перевод.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Проверка банком импортера правильности заполнения поручения на перевод.</w:t>
      </w:r>
    </w:p>
    <w:p w:rsidR="00177265" w:rsidRPr="00DD6A7E" w:rsidRDefault="00DD6A7E" w:rsidP="00DD6A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77265" w:rsidRPr="00DD6A7E">
        <w:rPr>
          <w:i/>
          <w:sz w:val="28"/>
          <w:szCs w:val="28"/>
        </w:rPr>
        <w:t>Осуществление перевода банком импортера валюты банку экспортера.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Банк экспортера проверяет подлинность платежного поручения и зачисляет экспортную выручку на счет бенефициара перевода и уведомляет экспортера.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 xml:space="preserve">Банк экспортера соблюдает процедуру </w:t>
      </w:r>
      <w:proofErr w:type="spellStart"/>
      <w:r w:rsidRPr="00DD6A7E">
        <w:rPr>
          <w:i/>
          <w:sz w:val="28"/>
          <w:szCs w:val="28"/>
        </w:rPr>
        <w:t>домицилирования</w:t>
      </w:r>
      <w:proofErr w:type="spellEnd"/>
      <w:r w:rsidRPr="00DD6A7E">
        <w:rPr>
          <w:i/>
          <w:sz w:val="28"/>
          <w:szCs w:val="28"/>
        </w:rPr>
        <w:t xml:space="preserve"> (очистка экспортной выручки в случае наличия  процедуры обязательной продажи в стране экспортера).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proofErr w:type="gramStart"/>
      <w:r w:rsidRPr="00DD6A7E">
        <w:rPr>
          <w:i/>
          <w:sz w:val="28"/>
          <w:szCs w:val="28"/>
        </w:rPr>
        <w:t xml:space="preserve">Банки начинают принимать участие в этой форме расчетов при </w:t>
      </w:r>
      <w:r w:rsidRPr="00DD6A7E">
        <w:rPr>
          <w:i/>
          <w:sz w:val="28"/>
          <w:szCs w:val="28"/>
        </w:rPr>
        <w:lastRenderedPageBreak/>
        <w:t>предоставлении в банк импортера соответствующею поручения на оплату контракта.</w:t>
      </w:r>
      <w:proofErr w:type="gramEnd"/>
      <w:r w:rsidRPr="00DD6A7E">
        <w:rPr>
          <w:i/>
          <w:sz w:val="28"/>
          <w:szCs w:val="28"/>
        </w:rPr>
        <w:t xml:space="preserve"> </w:t>
      </w:r>
      <w:proofErr w:type="gramStart"/>
      <w:r w:rsidRPr="00DD6A7E">
        <w:rPr>
          <w:i/>
          <w:sz w:val="28"/>
          <w:szCs w:val="28"/>
        </w:rPr>
        <w:t>Банки не несут никакой ответственности за платеж (поставка товара, передачи документов, а также сам платеж не входят в функции банка до момента представления платежного поручения.</w:t>
      </w:r>
      <w:proofErr w:type="gramEnd"/>
      <w:r w:rsidRPr="00DD6A7E">
        <w:rPr>
          <w:i/>
          <w:sz w:val="28"/>
          <w:szCs w:val="28"/>
        </w:rPr>
        <w:t xml:space="preserve"> Таким образом, банки несут минимальную ответственность при банковском переводе и, следовательно, взимают при этой форме расчетов минимальную комиссии. При банковском переводе комиссию, как правило, взыскивает банк импортера с перевододателя, и размер ее определяется в Тарифах комиссионного вознаграждения коммерческого банка по работе с клиентами (размер ее определяется самим банком и является либо фиксированным, либо выражается в промилле, процентах и т.д.). Банк импортера, приняв платежное поручение от клиента-импортера, направляет от своего имени платежное поручение в соответствующий банк экспортера тем способом, какой указан в поручении клиента: по почте, телексу, системе SWIFT/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>Такая форма банковского перевода более выгодна импортеру, так как последний получает товар и документы, как правило, до момента оплаты.</w:t>
      </w:r>
    </w:p>
    <w:p w:rsidR="00177265" w:rsidRPr="00DD6A7E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 xml:space="preserve">В международной банковской практике применяют и другой вид банковского перевода в оплату аванса по контракту. В ряде случаев в разделе «Условия платежа» контракта содержится  положение о переводе какого-либо процента цены контракта авансом, т.е. до начала отгрузки товара экспортером. Перевод аванса обычно осуществляется в размере 15-30% от  стоимости контракта, а оплата оставшейся части производится за фактически поставленный товар. Перевод аванса до начала отгрузки товара невыгоден импортеру, так как представляет собой скрытую форму кредитования в размере переводимого аванса. Кроме того, перевод аванса создает для импортера риск потери денег в случае </w:t>
      </w:r>
      <w:proofErr w:type="spellStart"/>
      <w:r w:rsidRPr="00DD6A7E">
        <w:rPr>
          <w:i/>
          <w:sz w:val="28"/>
          <w:szCs w:val="28"/>
        </w:rPr>
        <w:t>непоставки</w:t>
      </w:r>
      <w:proofErr w:type="spellEnd"/>
      <w:r w:rsidRPr="00DD6A7E">
        <w:rPr>
          <w:i/>
          <w:sz w:val="28"/>
          <w:szCs w:val="28"/>
        </w:rPr>
        <w:t xml:space="preserve"> товара экспортером.</w:t>
      </w:r>
    </w:p>
    <w:p w:rsidR="00177265" w:rsidRDefault="00177265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i/>
          <w:sz w:val="28"/>
          <w:szCs w:val="28"/>
        </w:rPr>
        <w:t xml:space="preserve">Если международные расчеты проводятся в форме банковского перевода, то для защиты импортера от риска </w:t>
      </w:r>
      <w:proofErr w:type="spellStart"/>
      <w:r w:rsidRPr="00DD6A7E">
        <w:rPr>
          <w:i/>
          <w:sz w:val="28"/>
          <w:szCs w:val="28"/>
        </w:rPr>
        <w:t>невозврата</w:t>
      </w:r>
      <w:proofErr w:type="spellEnd"/>
      <w:r w:rsidRPr="00DD6A7E">
        <w:rPr>
          <w:i/>
          <w:sz w:val="28"/>
          <w:szCs w:val="28"/>
        </w:rPr>
        <w:t xml:space="preserve">/потери аванса в случае </w:t>
      </w:r>
      <w:proofErr w:type="spellStart"/>
      <w:r w:rsidRPr="00DD6A7E">
        <w:rPr>
          <w:i/>
          <w:sz w:val="28"/>
          <w:szCs w:val="28"/>
        </w:rPr>
        <w:t>непоставки</w:t>
      </w:r>
      <w:proofErr w:type="spellEnd"/>
      <w:r w:rsidRPr="00DD6A7E">
        <w:rPr>
          <w:i/>
          <w:sz w:val="28"/>
          <w:szCs w:val="28"/>
        </w:rPr>
        <w:t xml:space="preserve"> товара экспортером используют банковскую гарантию на возврат аванса или документарный перевод.</w:t>
      </w:r>
    </w:p>
    <w:p w:rsidR="00DD6A7E" w:rsidRPr="00DD6A7E" w:rsidRDefault="00DD6A7E" w:rsidP="00DD6A7E">
      <w:pPr>
        <w:ind w:firstLine="284"/>
        <w:jc w:val="both"/>
        <w:rPr>
          <w:i/>
          <w:sz w:val="28"/>
          <w:szCs w:val="28"/>
        </w:rPr>
      </w:pPr>
      <w:r w:rsidRPr="00DD6A7E">
        <w:rPr>
          <w:b/>
          <w:bCs/>
          <w:i/>
          <w:sz w:val="28"/>
        </w:rPr>
        <w:t xml:space="preserve">Вывод: </w:t>
      </w:r>
      <w:r w:rsidRPr="00DD6A7E">
        <w:rPr>
          <w:i/>
          <w:sz w:val="28"/>
        </w:rPr>
        <w:t xml:space="preserve">Банковский перевод – это расчетный документ установленной формы, содержащий распоряжение владельца счета обслуживающему его банку о списании указанной суммы с его счета и перечислении ее на счет получателя средств. </w:t>
      </w:r>
      <w:proofErr w:type="gramStart"/>
      <w:r w:rsidRPr="00DD6A7E">
        <w:rPr>
          <w:i/>
          <w:sz w:val="28"/>
        </w:rPr>
        <w:t>Оно может использоваться для самого широкого круга расчетных операций, таких как расчеты за товары и услуги, оплата товарных векселей, авансовые платежи, предварительная оплата, расчеты по разного рода операциям нетоварного характера</w:t>
      </w:r>
      <w:proofErr w:type="gramEnd"/>
    </w:p>
    <w:p w:rsidR="007005D1" w:rsidRPr="00DD6A7E" w:rsidRDefault="007005D1" w:rsidP="00DD6A7E">
      <w:pPr>
        <w:ind w:firstLine="284"/>
        <w:jc w:val="both"/>
        <w:rPr>
          <w:i/>
          <w:sz w:val="28"/>
          <w:szCs w:val="28"/>
        </w:rPr>
      </w:pPr>
    </w:p>
    <w:sectPr w:rsidR="007005D1" w:rsidRPr="00DD6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EF6D358"/>
    <w:lvl w:ilvl="0">
      <w:numFmt w:val="bullet"/>
      <w:lvlText w:val="*"/>
      <w:lvlJc w:val="left"/>
    </w:lvl>
  </w:abstractNum>
  <w:abstractNum w:abstractNumId="1">
    <w:nsid w:val="065813C1"/>
    <w:multiLevelType w:val="hybridMultilevel"/>
    <w:tmpl w:val="0D0E1F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A65ABF"/>
    <w:multiLevelType w:val="hybridMultilevel"/>
    <w:tmpl w:val="2C82C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04515"/>
    <w:multiLevelType w:val="hybridMultilevel"/>
    <w:tmpl w:val="04241BA0"/>
    <w:lvl w:ilvl="0" w:tplc="0419000F">
      <w:start w:val="1"/>
      <w:numFmt w:val="decimal"/>
      <w:lvlText w:val="%1."/>
      <w:lvlJc w:val="left"/>
      <w:pPr>
        <w:tabs>
          <w:tab w:val="num" w:pos="1171"/>
        </w:tabs>
        <w:ind w:left="11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</w:lvl>
  </w:abstractNum>
  <w:abstractNum w:abstractNumId="4">
    <w:nsid w:val="5CB2572B"/>
    <w:multiLevelType w:val="hybridMultilevel"/>
    <w:tmpl w:val="A85A1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005D1"/>
    <w:rsid w:val="00177265"/>
    <w:rsid w:val="006049A9"/>
    <w:rsid w:val="007005D1"/>
    <w:rsid w:val="00DD6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5D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инкассо в международных расчетах</vt:lpstr>
    </vt:vector>
  </TitlesOfParts>
  <Company>Sta-Logistic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инкассо в международных расчетах</dc:title>
  <dc:subject/>
  <dc:creator>mvolchek</dc:creator>
  <cp:keywords/>
  <dc:description/>
  <cp:lastModifiedBy>Галя</cp:lastModifiedBy>
  <cp:revision>2</cp:revision>
  <dcterms:created xsi:type="dcterms:W3CDTF">2011-03-18T13:43:00Z</dcterms:created>
  <dcterms:modified xsi:type="dcterms:W3CDTF">2011-03-18T13:43:00Z</dcterms:modified>
</cp:coreProperties>
</file>