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4CC" w:rsidRPr="00685478" w:rsidRDefault="00E054CC" w:rsidP="00E054CC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685478">
        <w:rPr>
          <w:b/>
          <w:bCs/>
          <w:sz w:val="32"/>
          <w:szCs w:val="32"/>
        </w:rPr>
        <w:t>Тенденции развития классического волейбола на современном этапе</w:t>
      </w:r>
    </w:p>
    <w:p w:rsidR="00E054CC" w:rsidRPr="00685478" w:rsidRDefault="00E054CC" w:rsidP="00E054CC">
      <w:pPr>
        <w:spacing w:before="120"/>
        <w:jc w:val="center"/>
        <w:rPr>
          <w:sz w:val="28"/>
          <w:szCs w:val="28"/>
        </w:rPr>
      </w:pPr>
      <w:r w:rsidRPr="00685478">
        <w:rPr>
          <w:sz w:val="28"/>
          <w:szCs w:val="28"/>
        </w:rPr>
        <w:t>Доктор педагогических наук, профессор, заслуженный тренер России и СССР Ю.Д. Железняк, Московский государственный областной университет, Москва , Кандидат педагогических наук, заслуженный тренер РФ, главный тренер мужской сборной команды России по волейболу Г.Я. Шипулин , Кандидат педагогических наук, доцент О.Э. Сердюков</w:t>
      </w:r>
    </w:p>
    <w:p w:rsidR="00E054CC" w:rsidRPr="00685478" w:rsidRDefault="00E054CC" w:rsidP="00E054CC">
      <w:pPr>
        <w:spacing w:before="120"/>
        <w:jc w:val="center"/>
        <w:rPr>
          <w:b/>
          <w:bCs/>
          <w:sz w:val="28"/>
          <w:szCs w:val="28"/>
        </w:rPr>
      </w:pPr>
      <w:r w:rsidRPr="00685478">
        <w:rPr>
          <w:b/>
          <w:bCs/>
          <w:sz w:val="28"/>
          <w:szCs w:val="28"/>
        </w:rPr>
        <w:t xml:space="preserve">Введение 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Традиционный волейбол, которому более 100 лет, в последние годы получил название классического волейбола . Это вызвано тем, что в процессе развития волейбола выделился пляжный волейбол , который стал олимпийским видом спорта. В классическом волейболе за последние несколько лет произошли значительные изменения, связанные как с естественным процессом его развития, так и с существенными изменениями в правилах соревнований. Все это привело к необходимости внесения коррективов в содержание соревновательной и тренировочной деятельности ведущих волейболистов мира и отечественных спортсменов.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Анализ научной и методической литературы, беседы с тренерами и спортсменами, исследования авторов статьи позволили установить, что изменения в правилах игры повлияли на содержание соревновательной деятельности волейболистов. Изменения структуры и содержания соревновательной деятельности диктуют необходимость учета этого при организации и проведении тренировочного процесса высококвалифицированных волейболистов и в сфере подготовки спортивного резерва. В противном случае направленность и содержание подготовки спортсмена не будут соответствовать специфике соревновательной деятельности, что отрицательно повлияет на результаты состязаний.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В этих условиях актуальна проблема интегрирования содержания соревновательного противоборства и тренировки, системного единства, что отражается в понятии "соревновательно-тренировочная деятельность ". Только на основе глубокого анализа соревновательной деятельности, выявления основных тенденций в развитии современного классического волейбола возможно построение эффективной системы подготовки высококвалифицированных волейболистов.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Результаты и их обсуждение. Представленные результаты получены в ходе анализа соревновательной деятельности ведущих команд мира на крупнейших состязаниях (Олимпийских играх 2000 г., розыгрышах Мировой лиги 2000-2003 гг., Чемпионате мира 2002 г., Чемпионате Европы 2003 г.) с использованием современных компьютерных технологий.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Существенные изменения произошли в технической подготовленности высококвалифицированных волейболистов по сравнению с предыдущими этапами развития волейбола.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Современный волейбол характеризуется значительным усилением подачи. Использование силовой подачи в прыжке усложняет прием мяча игроками команды-соперницы и затрудняет организацию ими атакующих действий. Силовая подача в прыжке в настоящее время - наиболее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распространенная из всех разновидностей этого приема игры. В то же время наблюдения показывают, что игроки ведущих команд мира (России, Югославии, Бразилии, Италии) тактически сочетают силовую подачу в прыжке с "укороченными" подачами, когда мяч направляется близко к сетке.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Проявляется тенденция к учащению случаев приема подачи сверху. Это объясняется тем, что арбитры матчей не стали предъявлять очень жестких требований к выполнению приема мяча, посланного подачей. Наблюдения показали, что прием сверху чаще применяется при планирующей подаче соперника или при слабом "накате". Прием сверху стал чаще использоваться также при игре в защите. В настоящее время арбитры встречи практически не фиксируют ошибок при игре в защите, позволяя игрокам отражать мячи любой частью тела.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В технике различных видов нападающих ударов значительных изменений нет. В современном волейболе, как и ранее, наиболее распространенными являются нападающие удары по ходу, удары с переводом и обманные удары, причем их соотношение существенно не изменилось.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Анализ технико-тактических действий (ТТД) волейболистов ведущих команд в нападении показал, что подавляющее большинство атак после хорошего приема подачи осуществляется с быстрых вторых передач. Данная тенденция характерна для ТТД в нападении из всех зон площадки. Наблюдается сокращение количества комбинаций в зоне 3 с использованием нападающих второго темпа.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Характерная особенность современного волейбола - повышение доли атак из глубины площадки (рис. 1). В 80-е гг. 30% атак осуществлялось из зоны 3, в настоящее время их доля сократилась и составляет 23% в играх сборных команд и в чемпионате России. Таким образом, ведущие команды мира и России меньше используют атаки первым и вторым темпами из зоны 3.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Данная тенденция связана с тем, что блокирующие в современном волейболе довольно часто группируются вблизи зоны 3 и связующие игроки, чтобы "растянуть" блок соперника, вынуждены больше использовать края сетки. Кроме того, длина тела многих волейболистов превышает 200 см, что облегчает им игру на блоке.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Атаки из глубины площадки, которые в 80-е гг. были довольно редкими (всего 9,6%), в современном волейболе приобретают все большее значение. Причем эти атаки осуществляются не только из зоны 1, но и из зоны 6. Использование в атаке игроков задней линии позволяет во всех расстановках иметь трех активных нападающих, что значительно осложняет сопернику действия при блокировании. </w:t>
      </w:r>
    </w:p>
    <w:p w:rsidR="00E054CC" w:rsidRPr="0050321B" w:rsidRDefault="00D61785" w:rsidP="00E054CC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5.25pt;height:172.5pt">
            <v:imagedata r:id="rId5" o:title=""/>
          </v:shape>
        </w:pic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Рис. 1. Загруженность зон площадки, из которых производится нападение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>Преобладание атак из зоны 4 объясняется тем, что при плохом приеме подачи и при плохой доводке в "доигровке" связующий игрок вынужден выполнять вторую передачу именно в эту зону. Если рассматривать только идеальный и хороший приемы подачи, то атаки распределяются по зонам более равномерно. Ведущие команды мира, имеющие равноценных нападающих, развивают свои атаки с хорошей доводки без явных приоритетов зон, что значительно осложняет организацию защитных действий команде соперника.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Анализ соревновательной деятельности высококвалифицированных волейболистов показал, что у большинства команд результативность ТТД в защите значительно ниже, чем в атаке. Данная тенденция начала проявляться еще в 70-80-е гг. Атакующий потенциал высококвалифицированных волейболистов возрос благодаря повышению атлетизма игроков (длина тела многих нападающих превышает 200 см). В этих условиях играющим в защите тяжело противостоять мощному нападению.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Последние изменения в правилах соревнований направлены на то, чтобы активизировать эффективность действий волейболистов в защите. Разрешение играть в защите любыми частями тела, снижение требований правил игры и судейства к техническим действиям в защите, введение нового игрового амплуа волейболистов - "либеро" (свободного защитника, играющего только на задней линии) способствовали повышению эффективности защитных действий.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Организация защитных действий очень сложный процесс, требующий слаженных действий игроков, принимающих участие в блокировании, и игроков, принимающих мяч от атакующих ударов и на страховке. Об эффективности защитных действий опосредованно можно судить по количеству доигровок (ситуаций, когда при отражении атаки мяч остался на стороне защищающейся команды и она может организовывать атакующие действия): чем их больше, тем эффективнее была защита. Волейбол на современном этапе характеризуется значительным увеличением числа доигровок 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В настоящее время у защищающейся команды появилось больше возможностей для проведения эффективных ТТД. Это связано со снижением при судействе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требований к технике выполнения защитных действий. В связи с этим зрелищность волейбола намного возросла. Количество доигровок в играх сборных команд больше, чем в играх чемпионата России. Проведенные наблюдения показали, что сборные команды лучше организуют защитные действия, что свидетельствует о более высоком уровне мастерства игроков этих команд.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Важной составной частью защитных действий является блокирование . На рис. 2 представлена характеристика результативного блокирования на разных этапах развития волейбола. Результативное блокирование нападающих ударов из зоны 4 характерно тем, что здесь преимущество имеет двойное блокирование по сравнению с одиночным и тройным. По сравнению с 80-ми гг. в современном волейболе отмечается некоторое увеличение результативного тройного блокирования и уменьшение результативного одиночного блокирования атакующих ударов из зоны 4.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Иная картина результативного блокирования выявлена в зоне 3. В 80-е гг. удельный вес одиночного и двойного блокирования был примерно одинаковым (38-42%), значительно меньшей была доля тройного блокирования (20-22%). Данные наших исследований показали, что в современном волейболе увеличилась доля двойного блокирования и сократилась доля одиночного. При блокировании атак первым темпом центральному игроку часто помогают игроки зон 2 и 4, что раньше происходило значительно реже. Это стало возможным благодаря тому, что в настоящее время игроки передней линии при подготовке к блокированию группируются достаточно близко к зоне 3.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>Результативное блокирование в зоне 2 так же, как и в зоне 4, характеризуется преобладанием двойного блокирования над остальными. Наши исследования показали, что в настоящее время увеличилась доля результативного тройного блокирования в зоне 2. Это связано с усложнением подач в современном волейболе и как следствие - с увеличением частоты выполнения приема, после которого мяч не доведен точно до связующего игрока. В этих случаях нападающие удары выполняются, как правило, из зоны 4 с высоких передач при противодействии группового блокирования.</w:t>
      </w:r>
    </w:p>
    <w:p w:rsidR="00E054CC" w:rsidRPr="0050321B" w:rsidRDefault="00D61785" w:rsidP="00E054CC">
      <w:pPr>
        <w:spacing w:before="120"/>
        <w:ind w:firstLine="567"/>
        <w:jc w:val="both"/>
      </w:pPr>
      <w:r>
        <w:pict>
          <v:shape id="_x0000_i1026" type="#_x0000_t75" style="width:425.25pt;height:390.75pt">
            <v:imagedata r:id="rId6" o:title=""/>
          </v:shape>
        </w:pic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Рис. 2. Характеристика результативного блокирования нападающих ударов из зон 2, 3 и 4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В современном волейболе усиливаются различия в структуре и содержании соревновательной деятельности волейболистов разного амплуа. На основании результатов нашего исследования целесообразно выделять следующие игровые амплуа: игрок атаки второго темпа (доигровщик ), игрок атаки второго темпа (диагональный ), игрок атаки первого темпа, связующий игрок, либеро (защитник) 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Нами проанализированы видеозаписи 18 игр ведущих сборных команд мира и 24 игр чемпионата России. Фиксировались ТТД и время их выполнения. В зависимости от интенсивности в ТТД были выделены две основные группы. В первую группу - с высокой интенсивностью - были включены силовая подача в прыжке, нападающий удар, блок и игра в защите. Во вторую группу - со средней интенсивностью - вошли прием мяча с подачи, страховка, различные перемещения. Все остальные ТТД были определены как малоинтенсивные.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Установлено, что общее количество ТТД (35-40) за партию у доигровщиков , диагональных и связующих игроков примерно одинаково (рис. 3). Различается соотношение ТТД средней и высокой интенсивности. У связующих игроков и доигровщиков отмечено преобладание действий средней интенсивности. У диагональных игроков удельный вес ТТД высокой интенсивности значительно больше - 20-22 за партию. </w:t>
      </w:r>
    </w:p>
    <w:p w:rsidR="00E054CC" w:rsidRDefault="00E054CC" w:rsidP="00E054CC">
      <w:pPr>
        <w:spacing w:before="120"/>
        <w:ind w:firstLine="567"/>
        <w:jc w:val="both"/>
      </w:pPr>
      <w:r w:rsidRPr="0050321B">
        <w:t>Иное соотношение ТТД у игроков первого темпа. Анализ соревновательной деятельности представителей данного амплуа выявил преобладание действий высокой интенсивности над действиями средней интенсивности более чем в 2 раза. Это связано с тем, что игроки первого темпа большую часть игрового времени проводят на передней линии, а на задней их меняет либеро. У либеро явно преобладают ТТД средней интенсивности. Различное содержание соревновательной деятельности у представителей различных игровых амплуа должно учитываться в тренировочном процессе высококвалифицированных волейболистов.</w:t>
      </w:r>
    </w:p>
    <w:p w:rsidR="00E054CC" w:rsidRPr="0050321B" w:rsidRDefault="00D61785" w:rsidP="00E054CC">
      <w:pPr>
        <w:spacing w:before="120"/>
        <w:ind w:firstLine="567"/>
        <w:jc w:val="both"/>
      </w:pPr>
      <w:r>
        <w:pict>
          <v:shape id="_x0000_i1027" type="#_x0000_t75" style="width:425.25pt;height:174.75pt">
            <v:imagedata r:id="rId7" o:title=""/>
          </v:shape>
        </w:pict>
      </w:r>
      <w:r w:rsidR="00E054CC" w:rsidRPr="0050321B">
        <w:t xml:space="preserve">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Рис. 3. Количество ТТД высокой и средней интенсивности за партию у волейболистов различных амплуа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Заключение . Для классического волейбола на современном этапе характерны следующие тенденции, которые необходимо учитывать при планировании и проведении соревновательно-тренировочной деятельности высококвалифицированных волейболистов: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1) усложнение подачи, которая из технического элемента, обеспечивающего введение мяча в игру, превратилась в эффективное атакующее средство. Ведущие игроки мира имеют в своем арсенале 2-3 вида подач, которыми владеют в совершенстве. В настоящее время наибольшее распространение получили следующие виды подач: силовая подача в прыжке, планирующая силовая подача в прыжке, планирующая укороченная подача в прыжке, "накат" (укороченная подача);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2) ведущие команды мира используют диагонального игрока для приема силовой подачи (при максимальной степени риска) и игроков первого темпа для приема укороченной подачи. Сочетание различных видов подач предъявляет повышенные требования к физической и технической подготовленности игроков, участвующих в приеме;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3) усложнение подачи привело к увеличению доли атак в противодействии групповому блоку после плохого приема. Игроки, атакующие из зоны 2, из глубины площадки и особенно из зоны 4, вынуждены атаковать с высоких (не всегда удобных) вторых передач. ТТД ведущих команд мира в нападении после идеального и хорошего приема характеризуются равномерным использованием всех зон. Современный волейбол отличает увеличение доли атак из глубины площадки (зона 1 и зона 6);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4) изменения в правилах соревнований дают возможность командам более активно противостоять нападению соперника. Активизация защитных ТТД в современном волейболе сопровождается более частым использованием двойного и тройного блокирований. Введение игрового амплуа "либеро" также способствует более эффективной игре команд в защите;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5) классический волейбол на современном этапе своего развития характеризуется усилением различий в направленности соревновательной деятельности представителей различных игровых амплуа;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6) анализ соревновательной деятельности ведущих команд мира свидетельствует о возникновении потребности в универсально подготовленных высококвалифицированных волейболистах. Это особенно важно при подготовке резерва, когда принцип универсализации является ведущим. </w:t>
      </w:r>
    </w:p>
    <w:p w:rsidR="00E054CC" w:rsidRPr="00685478" w:rsidRDefault="00E054CC" w:rsidP="00E054CC">
      <w:pPr>
        <w:spacing w:before="120"/>
        <w:jc w:val="center"/>
        <w:rPr>
          <w:b/>
          <w:bCs/>
          <w:sz w:val="28"/>
          <w:szCs w:val="28"/>
        </w:rPr>
      </w:pPr>
      <w:r w:rsidRPr="00685478">
        <w:rPr>
          <w:b/>
          <w:bCs/>
          <w:sz w:val="28"/>
          <w:szCs w:val="28"/>
        </w:rPr>
        <w:t>Список литературы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1. Волейбол. Под ред. А.В. Беляева, М.В. Савина. - М.: ФОН, 2000. - 368 с.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2. Железняк Ю.Д., Ивойлов А.В. Волейбол. - М.: ФиС, 1991. - 238 с.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3. Мацудайра Я., Икеда Н., Сайто М. Волейбол: путь к победе. - М.: ФиС, 1983. - 104 с.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4. Клещев Ю.Н. Волейбол. - М.: СпортАкадемПресс, 2003. - 189 с.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5. Платонов В.Н. Общая теория подготовки спортсменов в олимпийских видах спорта. - Киев: Олимпийская литература, 1997. - 583 с.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6. Спортивные игры: техника, тактика, методика обучения / Под ред. Ю.Д. Железняка, Ю.М. Портнова. - М.: Академия, 2000. - 518 с. </w:t>
      </w:r>
    </w:p>
    <w:p w:rsidR="00E054CC" w:rsidRPr="0050321B" w:rsidRDefault="00E054CC" w:rsidP="00E054CC">
      <w:pPr>
        <w:spacing w:before="120"/>
        <w:ind w:firstLine="567"/>
        <w:jc w:val="both"/>
      </w:pPr>
      <w:r w:rsidRPr="0050321B">
        <w:t xml:space="preserve">7. Хапко В.Е., Маслов В.Н. Совершенствование мастерства волейболистов. - Киев: Здоровье, 1990. - 128 с. </w:t>
      </w:r>
    </w:p>
    <w:p w:rsidR="00E054CC" w:rsidRDefault="00E054CC" w:rsidP="00E054CC">
      <w:pPr>
        <w:spacing w:before="120"/>
        <w:ind w:firstLine="567"/>
        <w:jc w:val="both"/>
      </w:pPr>
      <w:r w:rsidRPr="0050321B">
        <w:t xml:space="preserve">8. Эйргон А., Мацудайра Я. Так побеждать. СПб.,1994. - 97 с. 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54CC"/>
    <w:rsid w:val="00095BA6"/>
    <w:rsid w:val="00187A7B"/>
    <w:rsid w:val="0031418A"/>
    <w:rsid w:val="0050321B"/>
    <w:rsid w:val="005A2562"/>
    <w:rsid w:val="00685478"/>
    <w:rsid w:val="00A44D32"/>
    <w:rsid w:val="00B23CE6"/>
    <w:rsid w:val="00C146F5"/>
    <w:rsid w:val="00D61785"/>
    <w:rsid w:val="00E054CC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4C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054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1869</Words>
  <Characters>12525</Characters>
  <Application>Microsoft Office Word</Application>
  <DocSecurity>0</DocSecurity>
  <Lines>204</Lines>
  <Paragraphs>48</Paragraphs>
  <ScaleCrop>false</ScaleCrop>
  <Company/>
  <LinksUpToDate>false</LinksUpToDate>
  <CharactersWithSpaces>14389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Тенденции развития классического волейбола на современном этапе</dc:title>
  <dc:subject/>
  <dc:creator/>
  <cp:keywords/>
  <dc:description/>
  <cp:lastModifiedBy>Alex</cp:lastModifiedBy>
  <cp:revision>2</cp:revision>
  <dcterms:created xsi:type="dcterms:W3CDTF">2016-12-13T09:54:00Z</dcterms:created>
  <dcterms:modified xsi:type="dcterms:W3CDTF">2016-12-13T09:54:00Z</dcterms:modified>
</cp:coreProperties>
</file>