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75F4" w:rsidRPr="00471678" w:rsidRDefault="00FE75F4" w:rsidP="00FE75F4">
      <w:pPr>
        <w:spacing w:before="120"/>
        <w:jc w:val="center"/>
        <w:rPr>
          <w:b/>
          <w:bCs/>
          <w:sz w:val="32"/>
          <w:szCs w:val="32"/>
        </w:rPr>
      </w:pPr>
      <w:bookmarkStart w:id="0" w:name="_GoBack"/>
      <w:bookmarkEnd w:id="0"/>
      <w:r w:rsidRPr="00471678">
        <w:rPr>
          <w:b/>
          <w:bCs/>
          <w:sz w:val="32"/>
          <w:szCs w:val="32"/>
        </w:rPr>
        <w:t>Социальная значимость физической культуры и спорта в современных условиях развития России</w:t>
      </w:r>
    </w:p>
    <w:p w:rsidR="00FE75F4" w:rsidRPr="00471678" w:rsidRDefault="00FE75F4" w:rsidP="00FE75F4">
      <w:pPr>
        <w:spacing w:before="120"/>
        <w:ind w:firstLine="567"/>
        <w:jc w:val="both"/>
        <w:rPr>
          <w:sz w:val="28"/>
          <w:szCs w:val="28"/>
        </w:rPr>
      </w:pPr>
      <w:r w:rsidRPr="00471678">
        <w:rPr>
          <w:sz w:val="28"/>
          <w:szCs w:val="28"/>
        </w:rPr>
        <w:t>Кандидат педагогических наук, советник председателя ГКФТ России в отставке, заслуженный работник физической культуры РФ, заслуженный тренер СССР В.Г. Бауэр</w:t>
      </w:r>
    </w:p>
    <w:p w:rsidR="00FE75F4" w:rsidRPr="00471678" w:rsidRDefault="00FE75F4" w:rsidP="00FE75F4">
      <w:pPr>
        <w:spacing w:before="120"/>
        <w:jc w:val="center"/>
        <w:rPr>
          <w:b/>
          <w:bCs/>
          <w:sz w:val="28"/>
          <w:szCs w:val="28"/>
        </w:rPr>
      </w:pPr>
      <w:r w:rsidRPr="00471678">
        <w:rPr>
          <w:b/>
          <w:bCs/>
          <w:sz w:val="28"/>
          <w:szCs w:val="28"/>
        </w:rPr>
        <w:t xml:space="preserve">Специфика основной деятельности. </w:t>
      </w:r>
    </w:p>
    <w:p w:rsidR="00FE75F4" w:rsidRPr="00911915" w:rsidRDefault="00FE75F4" w:rsidP="00FE75F4">
      <w:pPr>
        <w:spacing w:before="120"/>
        <w:ind w:firstLine="567"/>
        <w:jc w:val="both"/>
      </w:pPr>
      <w:r w:rsidRPr="00911915">
        <w:t>Основными функциями физкультурно-спортивных организаций являются: физическое воспитание, физкультурно-оздоровительные мероприятия, спортивные тренировки и соревнования. В систематические занятия физической культурой и спортом вовлечены различные группы населения - от дошкольников до пенсионеров, от здоровых до инвалидов, от начинающих до мастеров спорта России международного класса (мсмк).</w:t>
      </w:r>
    </w:p>
    <w:p w:rsidR="00FE75F4" w:rsidRPr="00471678" w:rsidRDefault="00FE75F4" w:rsidP="00FE75F4">
      <w:pPr>
        <w:spacing w:before="120"/>
        <w:jc w:val="center"/>
        <w:rPr>
          <w:b/>
          <w:bCs/>
          <w:sz w:val="28"/>
          <w:szCs w:val="28"/>
        </w:rPr>
      </w:pPr>
      <w:r w:rsidRPr="00471678">
        <w:rPr>
          <w:b/>
          <w:bCs/>
          <w:sz w:val="28"/>
          <w:szCs w:val="28"/>
        </w:rPr>
        <w:t xml:space="preserve">Наличие системы в обеспечении деятельности. </w:t>
      </w:r>
    </w:p>
    <w:p w:rsidR="00FE75F4" w:rsidRPr="00911915" w:rsidRDefault="00FE75F4" w:rsidP="00FE75F4">
      <w:pPr>
        <w:spacing w:before="120"/>
        <w:ind w:firstLine="567"/>
        <w:jc w:val="both"/>
      </w:pPr>
      <w:r w:rsidRPr="00911915">
        <w:t>В Российской Федерации функционирует 89 органов государственного управления физической культурой и спортом субъектов федераций. В настоящее время в сфере физической культуры и спорта действуют 8 министерств, 12 госкомитетов, 53 комитета, 9 департаментов, 7 управлений и отделов с различными названиями, при этом в отдельных названиях слово "спорт" отсутствует.</w:t>
      </w:r>
    </w:p>
    <w:p w:rsidR="00FE75F4" w:rsidRPr="00911915" w:rsidRDefault="00FE75F4" w:rsidP="00FE75F4">
      <w:pPr>
        <w:spacing w:before="120"/>
        <w:ind w:firstLine="567"/>
        <w:jc w:val="both"/>
      </w:pPr>
      <w:r w:rsidRPr="00911915">
        <w:t>Важнейший аспект функционирования сферы - восстановление вертикали государственного управления. В настоящее время управление физической культурой и спортом на федеральном уровне осуществляют Госкомспорт России, ОКР, 90 общероссийских федераций (союзов, ассоциаций) по видам спорта, функции которых нередко дублируются.</w:t>
      </w:r>
    </w:p>
    <w:p w:rsidR="00FE75F4" w:rsidRPr="00471678" w:rsidRDefault="00FE75F4" w:rsidP="00FE75F4">
      <w:pPr>
        <w:spacing w:before="120"/>
        <w:jc w:val="center"/>
        <w:rPr>
          <w:b/>
          <w:bCs/>
          <w:sz w:val="28"/>
          <w:szCs w:val="28"/>
        </w:rPr>
      </w:pPr>
      <w:r w:rsidRPr="00471678">
        <w:rPr>
          <w:b/>
          <w:bCs/>
          <w:sz w:val="28"/>
          <w:szCs w:val="28"/>
        </w:rPr>
        <w:t xml:space="preserve">Потребность в специалистах. </w:t>
      </w:r>
    </w:p>
    <w:p w:rsidR="00FE75F4" w:rsidRPr="00911915" w:rsidRDefault="00FE75F4" w:rsidP="00FE75F4">
      <w:pPr>
        <w:spacing w:before="120"/>
        <w:ind w:firstLine="567"/>
        <w:jc w:val="both"/>
      </w:pPr>
      <w:r w:rsidRPr="00911915">
        <w:t>Основную деятельность в рамках учебного расписания образовательных учреждений осуществляют 124,4 тыс. преподавателей; учебно-тренировочный процесс - 54,5 тыс. штатных тренеров-преподавателей; физкультурно-оздоровительную работу - 23,7 тыс. специалистов; в управленческой деятельности занято 5,5 тыс. чел; работники спортивных сооружений составляют 19,5 тыс. чел. Всего в сфере трудятся 241,7 тыс. штатных работников. Лишь 82,1 % из них имеют профессио нальное образование. Потребность в специалистах постоянно увеличивается. Их ежегодный выпуск составляет около 10 тыс. чел. В настоящее время различие между минимальными и максимальными показателями обеспеченности кадрами среди субъектов федераций составляет 78 раз. Особую тревогу вызывает профессиональный уровень работников органов управления сферой, который на 10% ниже, чем работников, осуществляющих физическое воспитание и спортивную подготовку. Каждый пятый управленец не имеет профессионального образования и тем самым лишен объективной основы общения с подчиненными на профессиональном языке.</w:t>
      </w:r>
    </w:p>
    <w:p w:rsidR="00FE75F4" w:rsidRPr="00911915" w:rsidRDefault="00FE75F4" w:rsidP="00FE75F4">
      <w:pPr>
        <w:spacing w:before="120"/>
        <w:ind w:firstLine="567"/>
        <w:jc w:val="both"/>
      </w:pPr>
      <w:r w:rsidRPr="00911915">
        <w:t>Кадры готовят 58 учебных заведений, переподготовку - 4 академии и 4 факультета физической культуры. Научную базу отрасли составляют 3 ВНИИ физической культуры, 9 аспирантур, 2 лаборатории, 6 докторантур.</w:t>
      </w:r>
    </w:p>
    <w:p w:rsidR="00FE75F4" w:rsidRPr="00471678" w:rsidRDefault="00FE75F4" w:rsidP="00FE75F4">
      <w:pPr>
        <w:spacing w:before="120"/>
        <w:jc w:val="center"/>
        <w:rPr>
          <w:b/>
          <w:bCs/>
          <w:sz w:val="28"/>
          <w:szCs w:val="28"/>
        </w:rPr>
      </w:pPr>
      <w:r w:rsidRPr="00471678">
        <w:rPr>
          <w:b/>
          <w:bCs/>
          <w:sz w:val="28"/>
          <w:szCs w:val="28"/>
        </w:rPr>
        <w:t xml:space="preserve">Материально-техническая база. </w:t>
      </w:r>
    </w:p>
    <w:p w:rsidR="00FE75F4" w:rsidRPr="00911915" w:rsidRDefault="00FE75F4" w:rsidP="00FE75F4">
      <w:pPr>
        <w:spacing w:before="120"/>
        <w:ind w:firstLine="567"/>
        <w:jc w:val="both"/>
      </w:pPr>
      <w:r w:rsidRPr="00911915">
        <w:t xml:space="preserve">В условиях современного общества физкультурно-оздоровительная и спортивная деятельность невозможна без специального материально-технического оснащения; научно обоснованных методик физического воспитания и спортивной тренировки; системы подготовки, переподготовки кадров и повышения их квалификации; системы управления и развития международных связей. </w:t>
      </w:r>
    </w:p>
    <w:p w:rsidR="00FE75F4" w:rsidRPr="00911915" w:rsidRDefault="00FE75F4" w:rsidP="00FE75F4">
      <w:pPr>
        <w:spacing w:before="120"/>
        <w:ind w:firstLine="567"/>
        <w:jc w:val="both"/>
      </w:pPr>
      <w:r w:rsidRPr="00911915">
        <w:t>С 1991 г. в Российской Федерации, несмотря на общие сокращения спортивной базы, наблюдается устойчивая тенденция расширения спортивных залов( до 54,3 тыс. ), крытых плавательных бассейнов (до 1,6 тыс.), стадионов с трибунами на 1,5 тыс. мест и более (до 2,1 тыс.).</w:t>
      </w:r>
    </w:p>
    <w:p w:rsidR="00FE75F4" w:rsidRPr="00911915" w:rsidRDefault="00FE75F4" w:rsidP="00FE75F4">
      <w:pPr>
        <w:spacing w:before="120"/>
        <w:ind w:firstLine="567"/>
        <w:jc w:val="both"/>
      </w:pPr>
      <w:r w:rsidRPr="00911915">
        <w:t>В настоящее время единовременная пропускная способность спортивных сооружений составляет 476 тыс. чел., или 34 человека на одно место. Различие между минимальными и максимальными показателями единовременной пропускной способности спортивных сооружений субъектов федераций достигает 47 раз.</w:t>
      </w:r>
    </w:p>
    <w:p w:rsidR="00FE75F4" w:rsidRPr="00911915" w:rsidRDefault="00FE75F4" w:rsidP="00FE75F4">
      <w:pPr>
        <w:spacing w:before="120"/>
        <w:ind w:firstLine="567"/>
        <w:jc w:val="both"/>
      </w:pPr>
      <w:r w:rsidRPr="00911915">
        <w:t>Наличие внутренних экономических подсистем. Из общей системы организационных форм и особенностей хозяйствования в сфере физической культуры и спорта можно выделить следующие специфические направления: физическое воспитание населения; физкультурно-оздоровительные услуги; подготовка спортивного резерва в сборную команду России, его участие в международных соревнованиях; кадровое, научно-методическое, медико-биологическое, информационное и нормативно-правовое обеспечение; международные спортивные связи. В каждом направлений действуют свои экономические механизмы.</w:t>
      </w:r>
    </w:p>
    <w:p w:rsidR="00FE75F4" w:rsidRPr="00911915" w:rsidRDefault="00FE75F4" w:rsidP="00FE75F4">
      <w:pPr>
        <w:spacing w:before="120"/>
        <w:ind w:firstLine="567"/>
        <w:jc w:val="both"/>
      </w:pPr>
      <w:r w:rsidRPr="00911915">
        <w:t>Развал отечественной спортивной индустрии, низкий уровень организации спортивных зрелищ, досуга и оказания услуг населению, а также отток из страны ведущих ученых, специалистов и спортсменов приводят к колоссальным экономическим потерям. Это связано прежде всего с тем, что выезд тренеров и спортсменов не регулируется. Не разработана правовая основа и механизм выплаты компенсаций спортивным школам и клубам, участвовавшим в формировании спортивных талантов. Физкультурное движение в России - наиболее массовое проявление двигательной активности: учебными занятиями охвачено 23 млн. учащихся и студентов; оздоровительной физической культурой - 12,3 млн представителей различных слоев населения; организованным спортом в системе спортивных школ - более 2 млн чел.; организацию подготовки юношеских и юниорских сборных команд России и их участие более чем в 150 международных соревнованиях обеспечивают общероссийские федерации по видам спорта, а финансирует - Госкомспорт России.</w:t>
      </w:r>
    </w:p>
    <w:p w:rsidR="00FE75F4" w:rsidRPr="00911915" w:rsidRDefault="00FE75F4" w:rsidP="00FE75F4">
      <w:pPr>
        <w:spacing w:before="120"/>
        <w:ind w:firstLine="567"/>
        <w:jc w:val="both"/>
      </w:pPr>
      <w:r w:rsidRPr="00911915">
        <w:t>Что представляет собой сфера физической культуры и спорта. Занятия физической культурой и спортом положительно воздействуют на укрепление здоровья, повышение уровня физического развития, физической подготовленности и спортивного мастерства, выполняют такие важные функции, как: образовательная и познавательная, духовно-нравственная, социально-биологичес кая адаптация, снижение социальной напряженности, профилактика заболеваемости, правонарушений, борьба с наркоманией, отвлечение подростков от улицы и вредных привычек. Экономический эффект от реализации этих функций значительно превосходит прямые затраты. Для системной оценки состояния развития массового спорта и спорта высших достижений в сопоставлении с негативными явлениями в обществе по итогам года методом регрессионного анализа автором определена зависимость удельных ( на один процент населения) уровней заболеваемости и преступности от показателей развития физической культуры и спорта и подготовки спортивного резерва, которая наглядно показывает, что уровень заболеваемости падает с возрастанием уровня развития физической культуры и спорта, а уровень преступности снижается с возрастанием уровня подготовки спортивного резерва и развития массового спорта.</w:t>
      </w:r>
    </w:p>
    <w:p w:rsidR="00FE75F4" w:rsidRPr="00911915" w:rsidRDefault="00FE75F4" w:rsidP="00FE75F4">
      <w:pPr>
        <w:spacing w:before="120"/>
        <w:ind w:firstLine="567"/>
        <w:jc w:val="both"/>
      </w:pPr>
      <w:r w:rsidRPr="00911915">
        <w:t>В связи с этим еще больше увеличивается значение ФКиС, особенно в снижении преступности и социальном поведении, а также в профилактике заболеваемости.</w:t>
      </w:r>
    </w:p>
    <w:p w:rsidR="00FE75F4" w:rsidRPr="00911915" w:rsidRDefault="00FE75F4" w:rsidP="00FE75F4">
      <w:pPr>
        <w:spacing w:before="120"/>
        <w:ind w:firstLine="567"/>
        <w:jc w:val="both"/>
      </w:pPr>
      <w:r w:rsidRPr="00911915">
        <w:t>В то же время различия в минимальных и максимальных показателях между субъектами федераций весьма велики: в развитии массового спорта - в 16 раз; подготовке спортивного резерва - в 15 раз; заболеваемости - в 7 раз; преступности - в 10 раз. Отсюда следует, что расширение масштабов развития физкультурно- оздоровительной работы и подготовки спортивного резерва становится социально необходимым. Экономический эффект очевиден. Его можно прокомментировать примером. Так, в начальной школе коррекции Тульской СДЮШОР учащиеся с нарушением осанки и плоскостопием через три года занятий становятся нормально развитыми. А в финансовом отношении это выразилось в выплате зарплаты тренеру за этот период менее 2 тыс. рублей за одного учащегося. В Анжеро-Судженской СДЮШОР за четыре года занятий ни один из состоящих на учете в детской комнате милиции не имел повторного привода. Кроме того, возрастает роль спорта в сплочении различных групп населения вокруг общероссийской идеи. Спортсмены пропагандируют традиции и символы России, ее особый дух и демократические преобразования.</w:t>
      </w:r>
    </w:p>
    <w:p w:rsidR="00FE75F4" w:rsidRPr="00911915" w:rsidRDefault="00FE75F4" w:rsidP="00FE75F4">
      <w:pPr>
        <w:spacing w:before="120"/>
        <w:ind w:firstLine="567"/>
        <w:jc w:val="both"/>
      </w:pPr>
      <w:r w:rsidRPr="00911915">
        <w:t>Масштаб сферы деятельности отрасли "физическая культура и спорт" в структуре органов государственного управления превышает масштаб отдельных отраслей социальной сферы страны. В связи с масштабностью и специфичностью деятельности, многообразием форм управления, наличием различных источников финансирования назрела необходимость выделения сферы ФКиС в самостоятельную отрасль с соответствующим разделом в бюджетной классификации в пределах ныне выделяемых на эти цели госбюджетных средств, что могло бы придать большую значимость и самостоятельность в решении поставленных перед отраслью задач.</w:t>
      </w:r>
    </w:p>
    <w:p w:rsidR="00FE75F4" w:rsidRPr="00911915" w:rsidRDefault="00FE75F4" w:rsidP="00FE75F4">
      <w:pPr>
        <w:spacing w:before="120"/>
        <w:ind w:firstLine="567"/>
        <w:jc w:val="both"/>
      </w:pPr>
      <w:r w:rsidRPr="00911915">
        <w:t>Насколько обременительна сфера ФКиС для общества? Фактическое финансирование физической культуры и спорта в 1999 г. по разделу "Здравоохранение", строке "Физическая культура и спорт", составило 5 782 млн руб. По разделу " Образование" - 5 474 млн руб., пофонду социального страхования - 265 млн руб., иным источникам финансирования - 1 544 млн руб., а финансирование ГКФТ России из федерального бюджета - 407 млн руб. В целом финансирование составило 13 482 млн руб., или 92 руб. на душу населения России.</w:t>
      </w:r>
    </w:p>
    <w:p w:rsidR="00FE75F4" w:rsidRPr="00911915" w:rsidRDefault="00FE75F4" w:rsidP="00FE75F4">
      <w:pPr>
        <w:spacing w:before="120"/>
        <w:ind w:firstLine="567"/>
        <w:jc w:val="both"/>
      </w:pPr>
      <w:r w:rsidRPr="00911915">
        <w:t>Размер выделения средств на физическую культуру и спорт в субъектах федераций различался в 116 раз на физкультурно- оздоровительную работу и в 94 раза - на содержание спортивных школ. И как следствие различие в результативности работы по развитию массового спорта и спорта высших достижений между субъектами федерации составило соответственно 20 и 48 раз.</w:t>
      </w:r>
    </w:p>
    <w:p w:rsidR="00FE75F4" w:rsidRPr="00911915" w:rsidRDefault="00FE75F4" w:rsidP="00FE75F4">
      <w:pPr>
        <w:spacing w:before="120"/>
        <w:ind w:firstLine="567"/>
        <w:jc w:val="both"/>
      </w:pPr>
      <w:r w:rsidRPr="00911915">
        <w:t>Соединение интересов государства и его территориальных образований выражается в приоритетном финансировании сферы ФКиС субъектами федераций (83,5 %) . Средства, выделенные из федерального бюджета, составили 5,2 % от cредств на здравоохранение. Следовательно на лечение, приобретение лекарств и медикаментозных средств направлено 95 руб., а на профилактику заболеваний средствами физической культуры и спорта - 5 руб.</w:t>
      </w:r>
    </w:p>
    <w:p w:rsidR="00FE75F4" w:rsidRPr="00911915" w:rsidRDefault="00FE75F4" w:rsidP="00FE75F4">
      <w:pPr>
        <w:spacing w:before="120"/>
        <w:ind w:firstLine="567"/>
        <w:jc w:val="both"/>
      </w:pPr>
      <w:r w:rsidRPr="00911915">
        <w:t>В прошедшем олимпийском цикле российскими спортсменами завоевано 106 олимпийских медалей различного достоинства, из них 18 - по 5 видам спорта на зимней Олимпиаде в Нагано, 8 - по 24 видам спорта на играх Олимпиады в Сиднее. По расчетным данным, расходы на одну завоеванную российскими спортсменами медаль различного достоинства составили примерно 127 млн руб. в год. При этом доля расходов на виды спорта, по которым медали не завоеваны, составила 23 % от общих расходов. Расходы на содержание спортивных школ по футболу, баскетболу, настольному теннису, конькобежному спорту составили примерно 1 118 млн руб. в год. Вместе с тем предложенные приоритеты в финансировании видов спорта в зависимости от результатов участия в прошедшей Олимпиаде энтузиазма у чиновников Госкомспор та России не вызвали.</w:t>
      </w:r>
    </w:p>
    <w:p w:rsidR="00FE75F4" w:rsidRPr="00911915" w:rsidRDefault="00FE75F4" w:rsidP="00FE75F4">
      <w:pPr>
        <w:spacing w:before="120"/>
        <w:ind w:firstLine="567"/>
        <w:jc w:val="both"/>
      </w:pPr>
      <w:r w:rsidRPr="00911915">
        <w:t>Состояние и пути дальнейшего развития массового спорта и подготовки спортивного резерва и России. При всей сложности социально-экономической ситуации в стране благодаря усилиям местных органов власти в целом увеличились число спортивных школ, контингент занимающихся, тренерских кадров, высококвалифицированных спортсменов. Вместе с тем в силу определенных причин Россия превратилась в самого крупного донора международного спорта и щедро делится своим уникальным опытом и квалифицированными кадрами. С помощью наших ученых и практиков во многих странах мира воспроизводится созданная и впервые реализованная в нашей стране современная система научно-методического и медико-биологического обеспечения.</w:t>
      </w:r>
    </w:p>
    <w:p w:rsidR="00FE75F4" w:rsidRPr="00911915" w:rsidRDefault="00FE75F4" w:rsidP="00FE75F4">
      <w:pPr>
        <w:spacing w:before="120"/>
        <w:ind w:firstLine="567"/>
        <w:jc w:val="both"/>
      </w:pPr>
      <w:r w:rsidRPr="00911915">
        <w:t>В современных условиях возросла роль спортивных школ в решении таких социальных проблем, как наркомания, беспризорность, преступность, а главное - сохранение и укрепление здоровья генофонда. Указанные проблемы могут быть решены благодаря накопленному опыту работы по организации массовой физкультурно-оз доровительной работы и подготовки полноценного пополнения резерва в сборную команду России в Тульской, Тверской, Кемеровской, Тюменской, Московской, Ростовской областях, в Москве, Санкт-Петербурге, республиках Саха (Якутия) и Башкирия. Обобщенный в последние годы передовой отечественный опыт подтверждает, что российский спорт остается конкурентоспособным на международной спортивной арене. Имеются авторитетнейшие научные школы и академии с большими традициями, передовой технологией спортивной подготовки. Надо только умело распорядиться этим богатством, сохранить и внедрить все положительное, что накоплено, выходить на новый виток развития массового спорта и спорта высших достижений.</w:t>
      </w:r>
    </w:p>
    <w:p w:rsidR="00FE75F4" w:rsidRPr="00911915" w:rsidRDefault="00FE75F4" w:rsidP="00FE75F4">
      <w:pPr>
        <w:spacing w:before="120"/>
        <w:ind w:firstLine="567"/>
        <w:jc w:val="both"/>
      </w:pPr>
      <w:r w:rsidRPr="00911915">
        <w:t>В последнее время все чаще приходится слышать, что в России спорт массовый и спорт высших достижений вошли в противоречие. Фактически в спорте высших достижений задействова но от 0,5 до 5,0 % занимающихся, и баланса между развитием общедоступного массового спорта и подготовкой резерва для элитного спорта не будет никогда. В то же время одинаково эффективно оба направления развиваются в Республике Чувашия, Волгоградской, Мурманской, Ростовской областях.</w:t>
      </w:r>
    </w:p>
    <w:p w:rsidR="00FE75F4" w:rsidRPr="00911915" w:rsidRDefault="00FE75F4" w:rsidP="00FE75F4">
      <w:pPr>
        <w:spacing w:before="120"/>
        <w:ind w:firstLine="567"/>
        <w:jc w:val="both"/>
      </w:pPr>
      <w:r w:rsidRPr="00911915">
        <w:t>Отечественная наука и практика подготовки резерва в сборную команду страны показали, что рост спортивных результатов определяется не общей численностью занимающихся, а числом спортсменов, задействованных в спорте высших достижений, качеством спортивного отбора и профессиональной подготовкой. Уровень эффективности деятельности спортивных школ по подготовке спортсменов высокого класса зависит от того, насколько правильно используется научно обоснованная система отбора. Это подтверждается результатами выступления российских спортсменов в Сиднее. Так, по отдельным видам спорта команды заняли призовые места, в то время как во внутрироссийском рейтинге эти виды находятся за пределами первой десятки.</w:t>
      </w:r>
    </w:p>
    <w:p w:rsidR="00FE75F4" w:rsidRPr="00911915" w:rsidRDefault="00FE75F4" w:rsidP="00FE75F4">
      <w:pPr>
        <w:spacing w:before="120"/>
        <w:ind w:firstLine="567"/>
        <w:jc w:val="both"/>
      </w:pPr>
      <w:r w:rsidRPr="00911915">
        <w:t>Согласно теории распределения показателей, необходимых для достижения высоких результатов, достаточно 5 - 6% занимающихся. Необходимый контингент занимающихся в спортивных школах почти в два раза превосходит эту расчетную величину. Однако в процессе подготовки тренерами не всегда учитываются индивидуальные различия в физической, технической, психологической подготовленности, морфологических особенностях спортсменов, которые должны быть в поле зрения каждого тренера.</w:t>
      </w:r>
    </w:p>
    <w:p w:rsidR="00FE75F4" w:rsidRPr="00911915" w:rsidRDefault="00FE75F4" w:rsidP="00FE75F4">
      <w:pPr>
        <w:spacing w:before="120"/>
        <w:ind w:firstLine="567"/>
        <w:jc w:val="both"/>
      </w:pPr>
      <w:r w:rsidRPr="00911915">
        <w:t>Для реализации индивидуального подхода в спортивной тренировке тренеру необходимо располагать такими критериями, как состояние здоровья, уровни биологической зрелости, физического развития, технической, тактической, психической, теоретической подготовленности, а также медико-биологическими, морфологическими , физиологическими характеристиками занимающихся, темпами роста показателей и их исходным уровнем.</w:t>
      </w:r>
    </w:p>
    <w:p w:rsidR="00FE75F4" w:rsidRPr="00911915" w:rsidRDefault="00FE75F4" w:rsidP="00FE75F4">
      <w:pPr>
        <w:spacing w:before="120"/>
        <w:ind w:firstLine="567"/>
        <w:jc w:val="both"/>
      </w:pPr>
      <w:r w:rsidRPr="00911915">
        <w:t>К сожалению, приходится констатировать, что результаты научных исследований в области спорта продолжают оставаться невостребованными в реальных условиях подготовки спортсменов.</w:t>
      </w:r>
    </w:p>
    <w:p w:rsidR="00FE75F4" w:rsidRPr="00911915" w:rsidRDefault="00FE75F4" w:rsidP="00FE75F4">
      <w:pPr>
        <w:spacing w:before="120"/>
        <w:ind w:firstLine="567"/>
        <w:jc w:val="both"/>
      </w:pPr>
      <w:r w:rsidRPr="00911915">
        <w:t>К главным достижениям российского спорта следует отнести то, что на местах сумели сохранить школы высшего спортивного мастерства и спортивные интернаты, преобразованные в 1989 г. в училища олимпийского резерва, которые являются основным источником пополнения сборной команды России.</w:t>
      </w:r>
    </w:p>
    <w:p w:rsidR="00FE75F4" w:rsidRPr="00911915" w:rsidRDefault="00FE75F4" w:rsidP="00FE75F4">
      <w:pPr>
        <w:spacing w:before="120"/>
        <w:ind w:firstLine="567"/>
        <w:jc w:val="both"/>
      </w:pPr>
      <w:r w:rsidRPr="00911915">
        <w:t>После распада СССР в российском спорте обострилась проблема централизованной подготовки спортсменов.</w:t>
      </w:r>
    </w:p>
    <w:p w:rsidR="00FE75F4" w:rsidRPr="00911915" w:rsidRDefault="00FE75F4" w:rsidP="00FE75F4">
      <w:pPr>
        <w:spacing w:before="120"/>
        <w:ind w:firstLine="567"/>
        <w:jc w:val="both"/>
      </w:pPr>
      <w:r w:rsidRPr="00911915">
        <w:t>Наилучшим образом эта проблема разрешается в УОР, где каждый четвертый учащийся - кандидат в сборную команду России, а из числа участников международных соревнований каждый третий становится призером первенств мира или Европы.</w:t>
      </w:r>
    </w:p>
    <w:p w:rsidR="00FE75F4" w:rsidRPr="00911915" w:rsidRDefault="00FE75F4" w:rsidP="00FE75F4">
      <w:pPr>
        <w:spacing w:before="120"/>
        <w:ind w:firstLine="567"/>
        <w:jc w:val="both"/>
      </w:pPr>
      <w:r w:rsidRPr="00911915">
        <w:t>При всех достоинствах УОР у них имеются свои проблемы. Сложность в обучении спортсменов состоит в том, что учащиеся должны повышать свое спортивное мастерство и качественно осваивать, знания, умения и навыки будущей профессии.</w:t>
      </w:r>
    </w:p>
    <w:p w:rsidR="00FE75F4" w:rsidRPr="00911915" w:rsidRDefault="00FE75F4" w:rsidP="00FE75F4">
      <w:pPr>
        <w:spacing w:before="120"/>
        <w:ind w:firstLine="567"/>
        <w:jc w:val="both"/>
      </w:pPr>
      <w:r w:rsidRPr="00911915">
        <w:t>Большинство учащихся УОР тренируются два раза в день, шесть дней в неделю, параллельно с этим пять академических часов в день посвящается приобретению общеобразовательных знаний. Решение этих задач осуществляется с единой целевой установкой на подготовку высококвалифицированных спортсменов и специалистов спорта. В связи с этим на основе анализа бюджета времени учащихся московского УОР №1 его педагогическим коллективом были разработаны меры по рационализации тренировочного времени, учебы, организации быта и отдыха детей.</w:t>
      </w:r>
    </w:p>
    <w:p w:rsidR="00FE75F4" w:rsidRPr="00911915" w:rsidRDefault="00FE75F4" w:rsidP="00FE75F4">
      <w:pPr>
        <w:spacing w:before="120"/>
        <w:ind w:firstLine="567"/>
        <w:jc w:val="both"/>
      </w:pPr>
      <w:r w:rsidRPr="00911915">
        <w:t>25-летний опыт работы этого училища позволил обеспечить преподавателей современным комплексом учебно-методических материалов. Сегодня используются различные формы организации учебных занятий: очно-заочная - для всех учащихся и для наиболее перспективных спортсменов; заочная - для кандидатов в сборную команду России, обучающихся по индивидуальному графику. Имеется комплекс учебно-методических материалов (лекционный, дидактически-методический , программа самоконтроля знаний для учащихся). Методические разработки для самостоятельной учебной деятельности учащихся (тематические планы, рекомендации по написанию контрольных работ, учебные задания и учебные материалы). Контроль знаний включает в себя компьютерные программы текущего, рубежного и итогового контроля. Тестовые программы для определения уровня знаний учащихся позволяют оценить качественные и количественные критерии, отражают сдвиги за оцениваемый период.</w:t>
      </w:r>
    </w:p>
    <w:p w:rsidR="00FE75F4" w:rsidRPr="00911915" w:rsidRDefault="00FE75F4" w:rsidP="00FE75F4">
      <w:pPr>
        <w:spacing w:before="120"/>
        <w:ind w:firstLine="567"/>
        <w:jc w:val="both"/>
      </w:pPr>
      <w:r w:rsidRPr="00911915">
        <w:t>Таким образом, процесс построения многолетней подготовки спортсменов - единая педагогическая система, обеспечивающая преемственность задач, средств, методов и организационных форм подготовки, реализуемых в условиях УОР. Этот опыт вполне можно рекомендовать для широкого использования.</w:t>
      </w:r>
    </w:p>
    <w:p w:rsidR="00FE75F4" w:rsidRPr="00911915" w:rsidRDefault="00FE75F4" w:rsidP="00FE75F4">
      <w:pPr>
        <w:spacing w:before="120"/>
        <w:ind w:firstLine="567"/>
        <w:jc w:val="both"/>
      </w:pPr>
      <w:r w:rsidRPr="00911915">
        <w:t>Организационные просчеты в развитии детско-юношеского спорта. С помощью факторного регрессионного анализа материальной обеспеченности физкультуры и спорта выявлено, что наибольшее влияние на результативность подготовки резерва сборной команды России оказывает финансовое и кадровое (специалисты, задействованные в спорте высших достижений) обеспечение, а на развитие массового спорта - кадровое и материально-техническое. Эти данные могут служить ориентиром при составлении программ развития массового спорта и спорта высших достижений. А пока культивирование видов спорта осуществля ется без экономических обоснований, эффективности и целесообразности расходования средств. И как следствие - материальные затраты на подготовку спортсменов на уровне мсмк различаются до 96 раз, причем в видах спорта, по которым российские спортсмены завоевали олимпийские медали, - до 73 раз, а в видах, по которым медалей не завоевали, - 1023 раза (!).</w:t>
      </w:r>
    </w:p>
    <w:p w:rsidR="00FE75F4" w:rsidRPr="00911915" w:rsidRDefault="00FE75F4" w:rsidP="00FE75F4">
      <w:pPr>
        <w:spacing w:before="120"/>
        <w:ind w:firstLine="567"/>
        <w:jc w:val="both"/>
      </w:pPr>
      <w:r w:rsidRPr="00911915">
        <w:t>Виды спорта развиваются без учета потребности в контингенте спортсменов для пополнения сборных команд страны. В результате этого количество спортсменов, задействованных в спорте высших достижений, по борьбе вольной и греко-римской, лыжным гонкам, футболу составляет от 500 до 350 стартовых составов сборной команды, в этих видах прослеживается "перепроизводство" спортсменов высокого класса, в то время как по бобслею, санному спорту, фигурному катанию, хоккею на траве, гребле академической, горнолыжному спорту таких спортсменов в десять раз меньше.</w:t>
      </w:r>
    </w:p>
    <w:p w:rsidR="00FE75F4" w:rsidRPr="00911915" w:rsidRDefault="00FE75F4" w:rsidP="00FE75F4">
      <w:pPr>
        <w:spacing w:before="120"/>
        <w:ind w:firstLine="567"/>
        <w:jc w:val="both"/>
      </w:pPr>
      <w:r w:rsidRPr="00911915">
        <w:t>Таблица 1</w:t>
      </w:r>
    </w:p>
    <w:tbl>
      <w:tblPr>
        <w:tblW w:w="5000" w:type="pct"/>
        <w:tblCellSpacing w:w="0" w:type="dxa"/>
        <w:tblInd w:w="-3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3913"/>
        <w:gridCol w:w="1801"/>
        <w:gridCol w:w="1948"/>
        <w:gridCol w:w="2039"/>
      </w:tblGrid>
      <w:tr w:rsidR="00FE75F4" w:rsidRPr="00911915" w:rsidTr="00065CA8">
        <w:trPr>
          <w:tblCellSpacing w:w="0" w:type="dxa"/>
        </w:trPr>
        <w:tc>
          <w:tcPr>
            <w:tcW w:w="2017" w:type="pct"/>
            <w:vMerge w:val="restart"/>
            <w:tcBorders>
              <w:top w:val="outset" w:sz="6" w:space="0" w:color="auto"/>
              <w:bottom w:val="outset" w:sz="6" w:space="0" w:color="auto"/>
              <w:right w:val="outset" w:sz="6" w:space="0" w:color="auto"/>
            </w:tcBorders>
          </w:tcPr>
          <w:p w:rsidR="00FE75F4" w:rsidRPr="00911915" w:rsidRDefault="00FE75F4" w:rsidP="00065CA8">
            <w:pPr>
              <w:jc w:val="both"/>
            </w:pPr>
            <w:r w:rsidRPr="00911915">
              <w:t>Сборная команда России</w:t>
            </w:r>
          </w:p>
        </w:tc>
        <w:tc>
          <w:tcPr>
            <w:tcW w:w="2983" w:type="pct"/>
            <w:gridSpan w:val="3"/>
            <w:tcBorders>
              <w:top w:val="outset" w:sz="6" w:space="0" w:color="auto"/>
              <w:left w:val="outset" w:sz="6" w:space="0" w:color="auto"/>
              <w:bottom w:val="outset" w:sz="6" w:space="0" w:color="auto"/>
            </w:tcBorders>
            <w:vAlign w:val="center"/>
          </w:tcPr>
          <w:p w:rsidR="00FE75F4" w:rsidRPr="00911915" w:rsidRDefault="00FE75F4" w:rsidP="00065CA8">
            <w:pPr>
              <w:jc w:val="both"/>
            </w:pPr>
            <w:r w:rsidRPr="00911915">
              <w:t>Возраст участников Олимпиады, лет</w:t>
            </w:r>
          </w:p>
        </w:tc>
      </w:tr>
      <w:tr w:rsidR="00FE75F4" w:rsidRPr="00911915" w:rsidTr="00065CA8">
        <w:trPr>
          <w:tblCellSpacing w:w="0" w:type="dxa"/>
        </w:trPr>
        <w:tc>
          <w:tcPr>
            <w:tcW w:w="2017" w:type="pct"/>
            <w:vMerge/>
            <w:tcBorders>
              <w:top w:val="outset" w:sz="6" w:space="0" w:color="auto"/>
              <w:bottom w:val="outset" w:sz="6" w:space="0" w:color="auto"/>
              <w:right w:val="outset" w:sz="6" w:space="0" w:color="auto"/>
            </w:tcBorders>
            <w:vAlign w:val="center"/>
          </w:tcPr>
          <w:p w:rsidR="00FE75F4" w:rsidRPr="00911915" w:rsidRDefault="00FE75F4" w:rsidP="00065CA8">
            <w:pPr>
              <w:jc w:val="both"/>
            </w:pPr>
          </w:p>
        </w:tc>
        <w:tc>
          <w:tcPr>
            <w:tcW w:w="928"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средний</w:t>
            </w:r>
          </w:p>
        </w:tc>
        <w:tc>
          <w:tcPr>
            <w:tcW w:w="1004"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минимум</w:t>
            </w:r>
          </w:p>
        </w:tc>
        <w:tc>
          <w:tcPr>
            <w:tcW w:w="1050" w:type="pct"/>
            <w:tcBorders>
              <w:top w:val="outset" w:sz="6" w:space="0" w:color="auto"/>
              <w:left w:val="outset" w:sz="6" w:space="0" w:color="auto"/>
              <w:bottom w:val="outset" w:sz="6" w:space="0" w:color="auto"/>
            </w:tcBorders>
            <w:vAlign w:val="center"/>
          </w:tcPr>
          <w:p w:rsidR="00FE75F4" w:rsidRPr="00911915" w:rsidRDefault="00FE75F4" w:rsidP="00065CA8">
            <w:pPr>
              <w:jc w:val="both"/>
            </w:pPr>
            <w:r w:rsidRPr="00911915">
              <w:t>максимум</w:t>
            </w:r>
          </w:p>
        </w:tc>
      </w:tr>
      <w:tr w:rsidR="00FE75F4" w:rsidRPr="00911915" w:rsidTr="00065CA8">
        <w:trPr>
          <w:tblCellSpacing w:w="0" w:type="dxa"/>
        </w:trPr>
        <w:tc>
          <w:tcPr>
            <w:tcW w:w="2017" w:type="pct"/>
            <w:tcBorders>
              <w:top w:val="outset" w:sz="6" w:space="0" w:color="auto"/>
              <w:bottom w:val="outset" w:sz="6" w:space="0" w:color="auto"/>
              <w:right w:val="outset" w:sz="6" w:space="0" w:color="auto"/>
            </w:tcBorders>
            <w:vAlign w:val="center"/>
          </w:tcPr>
          <w:p w:rsidR="00FE75F4" w:rsidRPr="00911915" w:rsidRDefault="00FE75F4" w:rsidP="00065CA8">
            <w:pPr>
              <w:jc w:val="both"/>
            </w:pPr>
            <w:r w:rsidRPr="00911915">
              <w:t>Все участники</w:t>
            </w:r>
          </w:p>
        </w:tc>
        <w:tc>
          <w:tcPr>
            <w:tcW w:w="928"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26,1</w:t>
            </w:r>
          </w:p>
        </w:tc>
        <w:tc>
          <w:tcPr>
            <w:tcW w:w="1004"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15</w:t>
            </w:r>
          </w:p>
        </w:tc>
        <w:tc>
          <w:tcPr>
            <w:tcW w:w="1050" w:type="pct"/>
            <w:tcBorders>
              <w:top w:val="outset" w:sz="6" w:space="0" w:color="auto"/>
              <w:left w:val="outset" w:sz="6" w:space="0" w:color="auto"/>
              <w:bottom w:val="outset" w:sz="6" w:space="0" w:color="auto"/>
            </w:tcBorders>
            <w:vAlign w:val="center"/>
          </w:tcPr>
          <w:p w:rsidR="00FE75F4" w:rsidRPr="00911915" w:rsidRDefault="00FE75F4" w:rsidP="00065CA8">
            <w:pPr>
              <w:jc w:val="both"/>
            </w:pPr>
            <w:r w:rsidRPr="00911915">
              <w:t>51</w:t>
            </w:r>
          </w:p>
        </w:tc>
      </w:tr>
      <w:tr w:rsidR="00FE75F4" w:rsidRPr="00911915" w:rsidTr="00065CA8">
        <w:trPr>
          <w:tblCellSpacing w:w="0" w:type="dxa"/>
        </w:trPr>
        <w:tc>
          <w:tcPr>
            <w:tcW w:w="2017" w:type="pct"/>
            <w:tcBorders>
              <w:top w:val="outset" w:sz="6" w:space="0" w:color="auto"/>
              <w:bottom w:val="outset" w:sz="6" w:space="0" w:color="auto"/>
              <w:right w:val="outset" w:sz="6" w:space="0" w:color="auto"/>
            </w:tcBorders>
            <w:vAlign w:val="center"/>
          </w:tcPr>
          <w:p w:rsidR="00FE75F4" w:rsidRPr="00911915" w:rsidRDefault="00FE75F4" w:rsidP="00065CA8">
            <w:pPr>
              <w:jc w:val="both"/>
            </w:pPr>
            <w:r w:rsidRPr="00911915">
              <w:t>Мужчины</w:t>
            </w:r>
          </w:p>
        </w:tc>
        <w:tc>
          <w:tcPr>
            <w:tcW w:w="928"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26,5</w:t>
            </w:r>
          </w:p>
        </w:tc>
        <w:tc>
          <w:tcPr>
            <w:tcW w:w="1004"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18</w:t>
            </w:r>
          </w:p>
        </w:tc>
        <w:tc>
          <w:tcPr>
            <w:tcW w:w="1050" w:type="pct"/>
            <w:tcBorders>
              <w:top w:val="outset" w:sz="6" w:space="0" w:color="auto"/>
              <w:left w:val="outset" w:sz="6" w:space="0" w:color="auto"/>
              <w:bottom w:val="outset" w:sz="6" w:space="0" w:color="auto"/>
            </w:tcBorders>
            <w:vAlign w:val="center"/>
          </w:tcPr>
          <w:p w:rsidR="00FE75F4" w:rsidRPr="00911915" w:rsidRDefault="00FE75F4" w:rsidP="00065CA8">
            <w:pPr>
              <w:jc w:val="both"/>
            </w:pPr>
            <w:r w:rsidRPr="00911915">
              <w:t>51</w:t>
            </w:r>
          </w:p>
        </w:tc>
      </w:tr>
      <w:tr w:rsidR="00FE75F4" w:rsidRPr="00911915" w:rsidTr="00065CA8">
        <w:trPr>
          <w:tblCellSpacing w:w="0" w:type="dxa"/>
        </w:trPr>
        <w:tc>
          <w:tcPr>
            <w:tcW w:w="2017" w:type="pct"/>
            <w:tcBorders>
              <w:top w:val="outset" w:sz="6" w:space="0" w:color="auto"/>
              <w:bottom w:val="outset" w:sz="6" w:space="0" w:color="auto"/>
              <w:right w:val="outset" w:sz="6" w:space="0" w:color="auto"/>
            </w:tcBorders>
            <w:vAlign w:val="center"/>
          </w:tcPr>
          <w:p w:rsidR="00FE75F4" w:rsidRPr="00911915" w:rsidRDefault="00FE75F4" w:rsidP="00065CA8">
            <w:pPr>
              <w:jc w:val="both"/>
            </w:pPr>
            <w:r w:rsidRPr="00911915">
              <w:t>Женщины</w:t>
            </w:r>
          </w:p>
        </w:tc>
        <w:tc>
          <w:tcPr>
            <w:tcW w:w="928"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25,3</w:t>
            </w:r>
          </w:p>
        </w:tc>
        <w:tc>
          <w:tcPr>
            <w:tcW w:w="1004"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15</w:t>
            </w:r>
          </w:p>
        </w:tc>
        <w:tc>
          <w:tcPr>
            <w:tcW w:w="1050" w:type="pct"/>
            <w:tcBorders>
              <w:top w:val="outset" w:sz="6" w:space="0" w:color="auto"/>
              <w:left w:val="outset" w:sz="6" w:space="0" w:color="auto"/>
              <w:bottom w:val="outset" w:sz="6" w:space="0" w:color="auto"/>
            </w:tcBorders>
            <w:vAlign w:val="center"/>
          </w:tcPr>
          <w:p w:rsidR="00FE75F4" w:rsidRPr="00911915" w:rsidRDefault="00FE75F4" w:rsidP="00065CA8">
            <w:pPr>
              <w:jc w:val="both"/>
            </w:pPr>
            <w:r w:rsidRPr="00911915">
              <w:t>40</w:t>
            </w:r>
          </w:p>
        </w:tc>
      </w:tr>
      <w:tr w:rsidR="00FE75F4" w:rsidRPr="00911915" w:rsidTr="00065CA8">
        <w:trPr>
          <w:tblCellSpacing w:w="0" w:type="dxa"/>
        </w:trPr>
        <w:tc>
          <w:tcPr>
            <w:tcW w:w="2017" w:type="pct"/>
            <w:tcBorders>
              <w:top w:val="outset" w:sz="6" w:space="0" w:color="auto"/>
              <w:bottom w:val="outset" w:sz="6" w:space="0" w:color="auto"/>
              <w:right w:val="outset" w:sz="6" w:space="0" w:color="auto"/>
            </w:tcBorders>
            <w:vAlign w:val="center"/>
          </w:tcPr>
          <w:p w:rsidR="00FE75F4" w:rsidRPr="00911915" w:rsidRDefault="00FE75F4" w:rsidP="00065CA8">
            <w:pPr>
              <w:jc w:val="both"/>
            </w:pPr>
            <w:r w:rsidRPr="00911915">
              <w:t>Победители</w:t>
            </w:r>
          </w:p>
        </w:tc>
        <w:tc>
          <w:tcPr>
            <w:tcW w:w="928"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23</w:t>
            </w:r>
          </w:p>
        </w:tc>
        <w:tc>
          <w:tcPr>
            <w:tcW w:w="1004"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18</w:t>
            </w:r>
          </w:p>
        </w:tc>
        <w:tc>
          <w:tcPr>
            <w:tcW w:w="1050" w:type="pct"/>
            <w:tcBorders>
              <w:top w:val="outset" w:sz="6" w:space="0" w:color="auto"/>
              <w:left w:val="outset" w:sz="6" w:space="0" w:color="auto"/>
              <w:bottom w:val="outset" w:sz="6" w:space="0" w:color="auto"/>
            </w:tcBorders>
            <w:vAlign w:val="center"/>
          </w:tcPr>
          <w:p w:rsidR="00FE75F4" w:rsidRPr="00911915" w:rsidRDefault="00FE75F4" w:rsidP="00065CA8">
            <w:pPr>
              <w:jc w:val="both"/>
            </w:pPr>
            <w:r w:rsidRPr="00911915">
              <w:t>41</w:t>
            </w:r>
          </w:p>
        </w:tc>
      </w:tr>
    </w:tbl>
    <w:p w:rsidR="00FE75F4" w:rsidRPr="00911915" w:rsidRDefault="00FE75F4" w:rsidP="00FE75F4">
      <w:pPr>
        <w:spacing w:before="120"/>
        <w:ind w:firstLine="567"/>
        <w:jc w:val="both"/>
      </w:pPr>
      <w:r w:rsidRPr="00911915">
        <w:t>Еще недооценивается целесообразность создания полного технологического цикла подготовки спортсменов от новичка до кандидата в сборную команду России. Так, в 34 регионах России нет ШВСМ, лишь в 25 функционируют УОР. Для сравнения: в Китае спортсменов воспитывают в 248 спортинтернатах.</w:t>
      </w:r>
    </w:p>
    <w:p w:rsidR="00FE75F4" w:rsidRPr="00911915" w:rsidRDefault="00FE75F4" w:rsidP="00FE75F4">
      <w:pPr>
        <w:spacing w:before="120"/>
        <w:ind w:firstLine="567"/>
        <w:jc w:val="both"/>
      </w:pPr>
      <w:r w:rsidRPr="00911915">
        <w:t>Наиболее слабым звеном в детско-юношеском спорте продолжает оставаться медицинское обеспечение. Углубленный медосмотр проходят не более половины учащихся спортшкол. Каждый седьмой из прошедших медосмотр нуждается в лечении, а в составе юношеских сборных команд России - каждый шестой. Если учесть, что при занятиях спортом на подрастающий организм в отличие от взрослого падает двойная нагрузка - собственно тренировочная и соревновательная, а также нагрузка, связанная с ростом и развитием организма, то к спортивным тренировкам могут допускаться только абсолютно здоровые подростки.</w:t>
      </w:r>
    </w:p>
    <w:p w:rsidR="00FE75F4" w:rsidRPr="00911915" w:rsidRDefault="00FE75F4" w:rsidP="00FE75F4">
      <w:pPr>
        <w:spacing w:before="120"/>
        <w:ind w:firstLine="567"/>
        <w:jc w:val="both"/>
      </w:pPr>
      <w:r w:rsidRPr="00911915">
        <w:t>Значительная часть спортсменов имеют отклонения в состоянии здоровья и не могут адаптироваться к постоянно повышающимся нагрузкам, которые становятся для них непосильными и нередко провоцируют заболевания. Занятия указанных лиц спортом не оправдывают финансовых затрат, времени и усилий, которые расходуются в ущерб учебе, профессии, а порой и здоровью.</w:t>
      </w:r>
    </w:p>
    <w:p w:rsidR="00FE75F4" w:rsidRPr="00911915" w:rsidRDefault="00FE75F4" w:rsidP="00FE75F4">
      <w:pPr>
        <w:spacing w:before="120"/>
        <w:ind w:firstLine="567"/>
        <w:jc w:val="both"/>
      </w:pPr>
      <w:r w:rsidRPr="00911915">
        <w:t>Нерешенной проблемой остается развитие женского спорта. До настоящего времени отсутствуют единые требования и подход к численности мужского и женского контингентов занимающихся. Так, доля женщин в стране превышает 53%, а занимающихся спортом -лишь 28%, в то же время в олимпийской программе женские дисциплины составляют 40% и имеют тенденцию к дальнейшему увеличению. Доля российских спортсменок, вернувшихся из Сиднея с медалями, составила 44 % от общего числа медалистов. Следователь но, надо усилить развитие женских дисциплин по принципу: развивать сильные стороны личности как ведущее условие достижения высоких спортивных результатов.</w:t>
      </w:r>
    </w:p>
    <w:p w:rsidR="00FE75F4" w:rsidRPr="00911915" w:rsidRDefault="00FE75F4" w:rsidP="00FE75F4">
      <w:pPr>
        <w:spacing w:before="120"/>
        <w:ind w:firstLine="567"/>
        <w:jc w:val="both"/>
      </w:pPr>
      <w:r w:rsidRPr="00911915">
        <w:t>Продолжается тенденция искусственного омоложения или более раннего начала занятий спортом. Существуют научно обоснованные, психологически и биологически оправданные возрастные зоны начала занятий спортом, которых и следовало бы придерживаться в практической деятельности. Учеными доказано, что в 70% случаев возраст начала занятий спортом стабилен и что спортсмены, рано приступившие к тренировкам, за больший срок осваивают норматив мастера спорта, а спортсмены, начавшие тренироваться в более позднем возрасте, быстрее осваивают этот норматив. Следовательно, начало занятий спортом в более раннем возрасте не ускоряет процесса подготовки, а делает его значительно дороже и не гарантирует стабильных результатов.</w:t>
      </w:r>
    </w:p>
    <w:p w:rsidR="00FE75F4" w:rsidRPr="00911915" w:rsidRDefault="00FE75F4" w:rsidP="00FE75F4">
      <w:pPr>
        <w:spacing w:before="120"/>
        <w:ind w:firstLine="567"/>
        <w:jc w:val="both"/>
      </w:pPr>
      <w:r w:rsidRPr="00911915">
        <w:t>Средний возраст сборной команды России на Олимпиаде в Сиднее в сравнении с Играми 1996 г. в Атланте увеличился на 1,3 года. Шире стал диапазон участников, сместившись в более старшую возрастную группу. Разница в возрасте внутри команды в 10 - 20 лет наблюдалась в 16 видах спорта (см. табл. 1).</w:t>
      </w:r>
    </w:p>
    <w:p w:rsidR="00FE75F4" w:rsidRPr="00911915" w:rsidRDefault="00FE75F4" w:rsidP="00FE75F4">
      <w:pPr>
        <w:spacing w:before="120"/>
        <w:ind w:firstLine="567"/>
        <w:jc w:val="both"/>
      </w:pPr>
      <w:r w:rsidRPr="00911915">
        <w:t>Возраст российских спортсменов свидетельствует о том, что спортивная карьера становится более продолжительной. Спортсмены до 18 лет составили 4,4%, до 25 лет - 43,2%, 25 лет и старше - 50,4%. Это наводит на мысль о том, что пора окончательно определиться, в каком возрасте и при каком уровне мастерства спортсмены России могут переходить в профессиональный спорт. Так, на Олимпиаде в Сиднее в составе сборной команды России 38 легионеров выступали по 8 видам спорта. В связи с этим необходимо ускорить приятие закона "О профессио нальном спорте в России".</w:t>
      </w:r>
    </w:p>
    <w:p w:rsidR="00FE75F4" w:rsidRPr="00911915" w:rsidRDefault="00FE75F4" w:rsidP="00FE75F4">
      <w:pPr>
        <w:spacing w:before="120"/>
        <w:ind w:firstLine="567"/>
        <w:jc w:val="both"/>
      </w:pPr>
      <w:r w:rsidRPr="00911915">
        <w:t>Следует также отметить, что чем дольше опытные спортсмены задерживаются в сборной команде, тем сложнее в нее попасть молодым перспективным спортсменам, которые пока еще не в состоянии обеспечить себе относительно благополучное материальное существование. Отсюда их отток из России в более экономически развитые страны.</w:t>
      </w:r>
    </w:p>
    <w:p w:rsidR="00FE75F4" w:rsidRPr="00911915" w:rsidRDefault="00FE75F4" w:rsidP="00FE75F4">
      <w:pPr>
        <w:spacing w:before="120"/>
        <w:ind w:firstLine="567"/>
        <w:jc w:val="both"/>
      </w:pPr>
      <w:r w:rsidRPr="00911915">
        <w:t>Объективны ли суждения о развале российского спорта? Россия, располагая 34-й частью населения земного шара, завоевывает каждую 10-ю разыгрываемую на Играх Олимпиады медаль. Из числа подготовленных олимпийских чемпионов на долю россиян пришлось 62,5%. В период распада СССР доля россиян в составе сборной команды СССР, СНГ и завоеванных ими медалей составила 52 %. На Играх Олимпиады в Сиднее спортсмены стран бывшего СНГ завоевали 163 медали, из которых россияне - 88, или 54%.Это свидетельствует о том, что развала спорта в России не произошло. Запас прочности российского спорта подтвержда ется результатами выступления сильнейших стран мира в видах спорта, в которых их представители завоевали медали, и количеством видов, в которых они завоевали более 10% максимально возможного числа медалей: Россия - 25 : 13 ; США - 24 : 4; Китай - 13 : 6 ; Австралия - 21 : 6 ; Германия - 20:6; Франция - 17 : 5. Российские спортсмены уверенно занимают ведущую позицию по сложно-координационным видам спорта и спортивным единоборствам, китайские - в спортивных играх, американские - в циклических и технических видах спорта. Если исходить из результатов выступления в главных соревнованиях 1997 - 1999 гг., то сборная команда России сохранила свои позиции, сборные команды США, Китая, Австралии повысили свой уровень, а Германии и Франции - понизили.</w:t>
      </w:r>
    </w:p>
    <w:p w:rsidR="00FE75F4" w:rsidRPr="00911915" w:rsidRDefault="00FE75F4" w:rsidP="00FE75F4">
      <w:pPr>
        <w:spacing w:before="120"/>
        <w:ind w:firstLine="567"/>
        <w:jc w:val="both"/>
      </w:pPr>
      <w:r w:rsidRPr="00911915">
        <w:t>Интерес к развитию олимпийских видов спорта в мире постоянно меняется. Если на олимпиаде 20-летней давности команды Китая и Австралии не входили в десятку ведущих стран, то в Сиднее они заняли третье и четвертое места в неофициальном общекомандном зачете, обойдя команды Германии и Франции.</w:t>
      </w:r>
    </w:p>
    <w:p w:rsidR="00FE75F4" w:rsidRPr="00911915" w:rsidRDefault="00FE75F4" w:rsidP="00FE75F4">
      <w:pPr>
        <w:spacing w:before="120"/>
        <w:ind w:firstLine="567"/>
        <w:jc w:val="both"/>
      </w:pPr>
      <w:r w:rsidRPr="00911915">
        <w:t>Эффективность развития видов спорта. Экономическая эффективность вида спорта характеризуется соотношением результата выступления на олимпиаде и расходов на него из местных бюджетов. Если в синхронном плавании, велоспорте (трек), прыжках в воду одна завоеванная медаль обошлась в 1,4 - 1,8 млн руб., то в гимнастике спортивной, фигурном катании, водном поло - в 3 раза, теннисе и современном пятиборье - в 4, стрельбе стендовой, пулевой и фехтовании - в 5, биатлоне - в 8, гимнастике художественной - в 10, борьбе вольной - в 15, боксе, лыжном двоеборье, борьбе греко-римской - в 16, легкой атлетике - в 21, велоспорте (шоссе) - в 25, хоккее - в 36, дзюдо - в 42, волейболе - в 70, плавании и гребле академической - в 72 раза дороже.</w:t>
      </w:r>
    </w:p>
    <w:p w:rsidR="00FE75F4" w:rsidRPr="00911915" w:rsidRDefault="00FE75F4" w:rsidP="00FE75F4">
      <w:pPr>
        <w:spacing w:before="120"/>
        <w:ind w:firstLine="567"/>
        <w:jc w:val="both"/>
      </w:pPr>
      <w:r w:rsidRPr="00911915">
        <w:t>В видах спорта, в которых медалей не завоевано, затраты таковы: сноуборд обошелся в 526 млн руб., бобслей - в 5 раз дороже, гребной слалом -в 6, хоккей на траве - в 9, санный спорт - в 10, триатлон - в 11, шорт-трек - в 13, бейсбол и фристайл - в 20, прыжки на лыжах - в 22, конный спорт - в 32, стрельба из лука - в 56, горнолыжный спорт - в 82, парусный спорт - в 84, конькобежный спорт - в 139, настольный теннис - в 215, баскетбол - в 747, футбол - в 1023 раза дороже.</w:t>
      </w:r>
    </w:p>
    <w:p w:rsidR="00FE75F4" w:rsidRPr="00911915" w:rsidRDefault="00FE75F4" w:rsidP="00FE75F4">
      <w:pPr>
        <w:spacing w:before="120"/>
        <w:ind w:firstLine="567"/>
        <w:jc w:val="both"/>
      </w:pPr>
      <w:r w:rsidRPr="00911915">
        <w:t>Учитывая возросшую конкуренцию за общекомандное место и постоянное снижение доли завоеванных медалей страной-победительницей, было бы правильным вернуться к неофициальному общекомандному подсчету по количеству занятых первых шести мест, а не по медалям, что позволило бы более объективно оценить вклад субъектов федераций в общероссийские достижения.</w:t>
      </w:r>
    </w:p>
    <w:p w:rsidR="00FE75F4" w:rsidRPr="00911915" w:rsidRDefault="00FE75F4" w:rsidP="00FE75F4">
      <w:pPr>
        <w:spacing w:before="120"/>
        <w:ind w:firstLine="567"/>
        <w:jc w:val="both"/>
      </w:pPr>
      <w:r w:rsidRPr="00911915">
        <w:t>Потенциал российского спорта. В целях сохранения высокого рейтинга России в мировом спортивном движении целесообразно сохранить имеющийся потенциал российского спорта - возможности, которые могут быть приведены в действие и использованы в целях достижения преимущества на играх предстоящих в ХХI веке Олимпиад, исходя из сложившейся в стране системы подготовки спортивного резерва, когда на одну завоеванную российскими спортсменами медаль приходится 5 участников олимпийских игр, а на одного участника приходится: 3 кандидата в сборную команду России; 17 мсмк и мс, проходящих подготовку на этапе высшего спортивного мастерства; 66 - на этапе спортивного совершенствования; 1,4 тыс. человек - в учебно-тренировочных группах; 2,8 тыс. - на этапе начальной подготовки 13,7 тыс. занимающихся в спортивных секциях и группах; 75 штатных тренеров-преподавателей, из которых 16 имеют высшую квалификационную категорию; 18,4 млн руб. в год из средств местного бюджета.</w:t>
      </w:r>
    </w:p>
    <w:p w:rsidR="00FE75F4" w:rsidRPr="00911915" w:rsidRDefault="00FE75F4" w:rsidP="00FE75F4">
      <w:pPr>
        <w:spacing w:before="120"/>
        <w:ind w:firstLine="567"/>
        <w:jc w:val="both"/>
      </w:pPr>
      <w:r w:rsidRPr="00911915">
        <w:t>Результаты участия российских спортсменов в Играх Олимпиады 2000 г. в Сиднее доказывают, что при нелучших условиях подготовки основы нашей системы и методики спорта высших достижений остаются передовыми в мире. Уровень достижений удерживается в основном благодаря сохранению системы подготовки спортивного резерва и невосполнимых биологических и психологи ческих усилий спортсменов и тренеров.</w:t>
      </w:r>
    </w:p>
    <w:p w:rsidR="00FE75F4" w:rsidRPr="00911915" w:rsidRDefault="00FE75F4" w:rsidP="00FE75F4">
      <w:pPr>
        <w:spacing w:before="120"/>
        <w:ind w:firstLine="567"/>
        <w:jc w:val="both"/>
      </w:pPr>
      <w:r w:rsidRPr="00911915">
        <w:t>В последние годы удалось реализовать некоторые управленческие решения и эксперименты. Например, переход на новую систему оплаты труда тренера-преподавателя, который был вынужденной мерой, поскольку по действующему законодательству для тренера главное - присутствие на работе, которое фиксируется табелем, графиком, подсчетом отработанных часов. При этом никого не интересует, что он делал, тем более насколько качественно сделал. Главная цель перехода на новую систему оплаты труда тренера-преподава теля - поставить заработок в прямую и жесткую зависимость от результата деятельности, усилить взаимную ответственность и требовательность администрации и специалистов.</w:t>
      </w:r>
    </w:p>
    <w:p w:rsidR="00FE75F4" w:rsidRPr="00911915" w:rsidRDefault="00FE75F4" w:rsidP="00FE75F4">
      <w:pPr>
        <w:spacing w:before="120"/>
        <w:ind w:firstLine="567"/>
        <w:jc w:val="both"/>
      </w:pPr>
      <w:r w:rsidRPr="00911915">
        <w:t>Вместе с тем должность тренера-преподава теля исключается из Перечня должностей, подлежащих выплате пенсии по выслуге лет. Пенсия по выслуге лет устанавливается в связи с особо вредными и тяжелыми условиями труда и иной профессиональной деятельности.</w:t>
      </w:r>
    </w:p>
    <w:p w:rsidR="00FE75F4" w:rsidRPr="00911915" w:rsidRDefault="00FE75F4" w:rsidP="00FE75F4">
      <w:pPr>
        <w:spacing w:before="120"/>
        <w:ind w:firstLine="567"/>
        <w:jc w:val="both"/>
      </w:pPr>
      <w:r w:rsidRPr="00911915">
        <w:t>Таблица 2</w:t>
      </w:r>
    </w:p>
    <w:tbl>
      <w:tblPr>
        <w:tblW w:w="5000" w:type="pct"/>
        <w:tblCellSpacing w:w="0" w:type="dxa"/>
        <w:tblInd w:w="-3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4376"/>
        <w:gridCol w:w="1675"/>
        <w:gridCol w:w="1675"/>
        <w:gridCol w:w="1975"/>
      </w:tblGrid>
      <w:tr w:rsidR="00FE75F4" w:rsidRPr="00911915" w:rsidTr="00065CA8">
        <w:trPr>
          <w:tblCellSpacing w:w="0" w:type="dxa"/>
        </w:trPr>
        <w:tc>
          <w:tcPr>
            <w:tcW w:w="2255" w:type="pct"/>
            <w:tcBorders>
              <w:top w:val="outset" w:sz="6" w:space="0" w:color="auto"/>
              <w:bottom w:val="outset" w:sz="6" w:space="0" w:color="auto"/>
              <w:right w:val="outset" w:sz="6" w:space="0" w:color="auto"/>
            </w:tcBorders>
            <w:vAlign w:val="center"/>
          </w:tcPr>
          <w:p w:rsidR="00FE75F4" w:rsidRPr="00911915" w:rsidRDefault="00FE75F4" w:rsidP="00065CA8">
            <w:pPr>
              <w:jc w:val="both"/>
            </w:pPr>
            <w:r w:rsidRPr="00911915">
              <w:t>Возраст, лет</w:t>
            </w:r>
          </w:p>
        </w:tc>
        <w:tc>
          <w:tcPr>
            <w:tcW w:w="863"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0-4</w:t>
            </w:r>
          </w:p>
        </w:tc>
        <w:tc>
          <w:tcPr>
            <w:tcW w:w="863"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5-9</w:t>
            </w:r>
          </w:p>
        </w:tc>
        <w:tc>
          <w:tcPr>
            <w:tcW w:w="1018" w:type="pct"/>
            <w:tcBorders>
              <w:top w:val="outset" w:sz="6" w:space="0" w:color="auto"/>
              <w:left w:val="outset" w:sz="6" w:space="0" w:color="auto"/>
              <w:bottom w:val="outset" w:sz="6" w:space="0" w:color="auto"/>
            </w:tcBorders>
            <w:vAlign w:val="center"/>
          </w:tcPr>
          <w:p w:rsidR="00FE75F4" w:rsidRPr="00911915" w:rsidRDefault="00FE75F4" w:rsidP="00065CA8">
            <w:pPr>
              <w:jc w:val="both"/>
            </w:pPr>
            <w:r w:rsidRPr="00911915">
              <w:t>10 - 14</w:t>
            </w:r>
          </w:p>
        </w:tc>
      </w:tr>
      <w:tr w:rsidR="00FE75F4" w:rsidRPr="00911915" w:rsidTr="00065CA8">
        <w:trPr>
          <w:tblCellSpacing w:w="0" w:type="dxa"/>
        </w:trPr>
        <w:tc>
          <w:tcPr>
            <w:tcW w:w="2255" w:type="pct"/>
            <w:tcBorders>
              <w:top w:val="outset" w:sz="6" w:space="0" w:color="auto"/>
              <w:bottom w:val="outset" w:sz="6" w:space="0" w:color="auto"/>
              <w:right w:val="outset" w:sz="6" w:space="0" w:color="auto"/>
            </w:tcBorders>
            <w:vAlign w:val="center"/>
          </w:tcPr>
          <w:p w:rsidR="00FE75F4" w:rsidRPr="00911915" w:rsidRDefault="00FE75F4" w:rsidP="00065CA8">
            <w:pPr>
              <w:jc w:val="both"/>
            </w:pPr>
            <w:r w:rsidRPr="00911915">
              <w:t>Колич., тыс. чел.</w:t>
            </w:r>
          </w:p>
        </w:tc>
        <w:tc>
          <w:tcPr>
            <w:tcW w:w="863"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6743</w:t>
            </w:r>
          </w:p>
        </w:tc>
        <w:tc>
          <w:tcPr>
            <w:tcW w:w="863"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9916</w:t>
            </w:r>
          </w:p>
        </w:tc>
        <w:tc>
          <w:tcPr>
            <w:tcW w:w="1018" w:type="pct"/>
            <w:tcBorders>
              <w:top w:val="outset" w:sz="6" w:space="0" w:color="auto"/>
              <w:left w:val="outset" w:sz="6" w:space="0" w:color="auto"/>
              <w:bottom w:val="outset" w:sz="6" w:space="0" w:color="auto"/>
            </w:tcBorders>
            <w:vAlign w:val="center"/>
          </w:tcPr>
          <w:p w:rsidR="00FE75F4" w:rsidRPr="00911915" w:rsidRDefault="00FE75F4" w:rsidP="00065CA8">
            <w:pPr>
              <w:jc w:val="both"/>
            </w:pPr>
            <w:r w:rsidRPr="00911915">
              <w:t>12354</w:t>
            </w:r>
          </w:p>
        </w:tc>
      </w:tr>
      <w:tr w:rsidR="00FE75F4" w:rsidRPr="00911915" w:rsidTr="00065CA8">
        <w:trPr>
          <w:tblCellSpacing w:w="0" w:type="dxa"/>
        </w:trPr>
        <w:tc>
          <w:tcPr>
            <w:tcW w:w="2255" w:type="pct"/>
            <w:tcBorders>
              <w:top w:val="outset" w:sz="6" w:space="0" w:color="auto"/>
              <w:bottom w:val="outset" w:sz="6" w:space="0" w:color="auto"/>
              <w:right w:val="outset" w:sz="6" w:space="0" w:color="auto"/>
            </w:tcBorders>
            <w:vAlign w:val="center"/>
          </w:tcPr>
          <w:p w:rsidR="00FE75F4" w:rsidRPr="00911915" w:rsidRDefault="00FE75F4" w:rsidP="00065CA8">
            <w:pPr>
              <w:jc w:val="both"/>
            </w:pPr>
            <w:r w:rsidRPr="00911915">
              <w:t>Процент от населения</w:t>
            </w:r>
          </w:p>
        </w:tc>
        <w:tc>
          <w:tcPr>
            <w:tcW w:w="863"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4,6</w:t>
            </w:r>
          </w:p>
        </w:tc>
        <w:tc>
          <w:tcPr>
            <w:tcW w:w="863" w:type="pct"/>
            <w:tcBorders>
              <w:top w:val="outset" w:sz="6" w:space="0" w:color="auto"/>
              <w:left w:val="outset" w:sz="6" w:space="0" w:color="auto"/>
              <w:bottom w:val="outset" w:sz="6" w:space="0" w:color="auto"/>
              <w:right w:val="outset" w:sz="6" w:space="0" w:color="auto"/>
            </w:tcBorders>
            <w:vAlign w:val="center"/>
          </w:tcPr>
          <w:p w:rsidR="00FE75F4" w:rsidRPr="00911915" w:rsidRDefault="00FE75F4" w:rsidP="00065CA8">
            <w:pPr>
              <w:jc w:val="both"/>
            </w:pPr>
            <w:r w:rsidRPr="00911915">
              <w:t>6,7</w:t>
            </w:r>
          </w:p>
        </w:tc>
        <w:tc>
          <w:tcPr>
            <w:tcW w:w="1018" w:type="pct"/>
            <w:tcBorders>
              <w:top w:val="outset" w:sz="6" w:space="0" w:color="auto"/>
              <w:left w:val="outset" w:sz="6" w:space="0" w:color="auto"/>
              <w:bottom w:val="outset" w:sz="6" w:space="0" w:color="auto"/>
            </w:tcBorders>
            <w:vAlign w:val="center"/>
          </w:tcPr>
          <w:p w:rsidR="00FE75F4" w:rsidRPr="00911915" w:rsidRDefault="00FE75F4" w:rsidP="00065CA8">
            <w:pPr>
              <w:jc w:val="both"/>
            </w:pPr>
            <w:r w:rsidRPr="00911915">
              <w:t>8,4</w:t>
            </w:r>
          </w:p>
        </w:tc>
      </w:tr>
    </w:tbl>
    <w:p w:rsidR="00FE75F4" w:rsidRPr="00911915" w:rsidRDefault="00FE75F4" w:rsidP="00FE75F4">
      <w:pPr>
        <w:spacing w:before="120"/>
        <w:ind w:firstLine="567"/>
        <w:jc w:val="both"/>
      </w:pPr>
      <w:r w:rsidRPr="00911915">
        <w:t>Труд тренера-преподавателя связан с повышенными нервными и интеллектуальными нагрузками. Его рабочий день разделен на части, так как спортивные тренировки проводятся на спортивной базе образовательных учреждений до и после основных учебных занятий. В связи с этим продолжительность рабочего дня тренера - 10-12 часов. Накануне праздничных дней продолжительность рабочего дня не сокращается. Воскресный день для тренера-преподавате ля общим выходным днем не является, так как в эти дни проводятся соревнования и объемные тренировки, а компенсация за работу в выходные и праздничные дни не производится. В холодное время года тренировочные занятия проводятся на открытом воздухе или в неотаплива емых помещения, без перерыва. При всем этом тренеру-преподавателю приходится решать задачи образовательного, воспитательного, оздоровительного, развивающего характера и совершенствования спортивного мастерства занимающихся, осуществлять тренировочный процесс, различный по организации, форме, содержанию и направленности.</w:t>
      </w:r>
    </w:p>
    <w:p w:rsidR="00FE75F4" w:rsidRPr="00911915" w:rsidRDefault="00FE75F4" w:rsidP="00FE75F4">
      <w:pPr>
        <w:spacing w:before="120"/>
        <w:ind w:firstLine="567"/>
        <w:jc w:val="both"/>
      </w:pPr>
      <w:r w:rsidRPr="00911915">
        <w:t>Вопрос восстановления должности тренера-преподавателя в перечне должностей, подлежащих выплате пенсий по выслуге лет, не терпит отлагательства ради сохранения имеющегося в России потенциала высококвалифицированных тренеров.</w:t>
      </w:r>
    </w:p>
    <w:p w:rsidR="00FE75F4" w:rsidRPr="00911915" w:rsidRDefault="00FE75F4" w:rsidP="00FE75F4">
      <w:pPr>
        <w:spacing w:before="120"/>
        <w:ind w:firstLine="567"/>
        <w:jc w:val="both"/>
      </w:pPr>
      <w:r w:rsidRPr="00911915">
        <w:t>Необходимо в ближайшее время привести в соответствие трудовые отношения со спортсменами и тренерами, их социальное, медицинское, страховое и пенсионное обеспечение, систему вознаграждений победителей олимпиад и чемпионатов мира, оснастить федеральные центры олимпийской подготовки современным оборудованием, научно-медицинской аппаратурой, возродить КНГ по видам спорта и ускорить принятие Центральной комплексной программы "Развитие детско-юношеского спорта в России" .</w:t>
      </w:r>
    </w:p>
    <w:p w:rsidR="00FE75F4" w:rsidRPr="00911915" w:rsidRDefault="00FE75F4" w:rsidP="00FE75F4">
      <w:pPr>
        <w:spacing w:before="120"/>
        <w:ind w:firstLine="567"/>
        <w:jc w:val="both"/>
      </w:pPr>
      <w:r w:rsidRPr="00911915">
        <w:t>С чем войдем мы в 21-й век? По данным российского статистического агентства, численность детей до 14-летнего возраста за последние 10 лет сократилась почти вдвое (табл. 2).</w:t>
      </w:r>
    </w:p>
    <w:p w:rsidR="00FE75F4" w:rsidRPr="00911915" w:rsidRDefault="00FE75F4" w:rsidP="00FE75F4">
      <w:pPr>
        <w:spacing w:before="120"/>
        <w:ind w:firstLine="567"/>
        <w:jc w:val="both"/>
      </w:pPr>
      <w:r w:rsidRPr="00911915">
        <w:t>Статистические данные за 1999 г. свидетельствуют о том, что естественная убыль населения значительно превышала соответствующие показатели предыдущего года.</w:t>
      </w:r>
    </w:p>
    <w:p w:rsidR="00FE75F4" w:rsidRPr="00911915" w:rsidRDefault="00FE75F4" w:rsidP="00FE75F4">
      <w:pPr>
        <w:spacing w:before="120"/>
        <w:ind w:firstLine="567"/>
        <w:jc w:val="both"/>
      </w:pPr>
      <w:r w:rsidRPr="00911915">
        <w:t>Снижение рождаемости, рост смертности и сокращение продолжительности жизни населения приобрели в последнее время стремительный характер. Катастрофическая демографическая ситуация ставит эти проблемы в разряд национальных приоритетов.</w:t>
      </w:r>
    </w:p>
    <w:p w:rsidR="00FE75F4" w:rsidRPr="00911915" w:rsidRDefault="00FE75F4" w:rsidP="00FE75F4">
      <w:pPr>
        <w:spacing w:before="120"/>
        <w:ind w:firstLine="567"/>
        <w:jc w:val="both"/>
      </w:pPr>
      <w:r w:rsidRPr="00911915">
        <w:t xml:space="preserve">К настоящему времени в России лишь 10% выпускников школ могут считаться здоровыми, при этом их доля за последние 10 лет уменьшилась в три раза. Соответственно с 43,9 до 75% увеличилось число девушек, имеющих хронические заболевания. Столь низкий уровень здоровья носительниц генофонда представляет реальную угрозу для будущего нации. </w:t>
      </w:r>
    </w:p>
    <w:p w:rsidR="00FE75F4" w:rsidRPr="00911915" w:rsidRDefault="00FE75F4" w:rsidP="00FE75F4">
      <w:pPr>
        <w:spacing w:before="120"/>
        <w:ind w:firstLine="567"/>
        <w:jc w:val="both"/>
      </w:pPr>
      <w:r w:rsidRPr="00911915">
        <w:t>По данным ВНИИФКа, 85% призывников не желают служить в армии из-за физической неподготовленности, ибо понимают, что в первую очередь именно они станут объектом дедовщины.</w:t>
      </w:r>
    </w:p>
    <w:p w:rsidR="00FE75F4" w:rsidRPr="00911915" w:rsidRDefault="00FE75F4" w:rsidP="00FE75F4">
      <w:pPr>
        <w:spacing w:before="120"/>
        <w:ind w:firstLine="567"/>
        <w:jc w:val="both"/>
      </w:pPr>
      <w:r w:rsidRPr="00911915">
        <w:t>По мнению аналитиков, состояние здоровья российских граждан уже представляет реальную угрозу национальной безопасности. Если не предпринять мер по изменению ситуации, это может иметь тяжелые последствия для страны.</w:t>
      </w:r>
    </w:p>
    <w:p w:rsidR="00FE75F4" w:rsidRPr="00911915" w:rsidRDefault="00FE75F4" w:rsidP="00FE75F4">
      <w:pPr>
        <w:spacing w:before="120"/>
        <w:ind w:firstLine="567"/>
        <w:jc w:val="both"/>
      </w:pPr>
      <w:r w:rsidRPr="00911915">
        <w:t>Специально ориентированная физкультурно -спортивная работа, направленная на профилакти ку асоциального поведения, позволит предотвра тить процессы вовлечения в преступную деятельность до 10 - 15% подростков.</w:t>
      </w:r>
    </w:p>
    <w:p w:rsidR="00FE75F4" w:rsidRPr="00911915" w:rsidRDefault="00FE75F4" w:rsidP="00FE75F4">
      <w:pPr>
        <w:spacing w:before="120"/>
        <w:ind w:firstLine="567"/>
        <w:jc w:val="both"/>
      </w:pPr>
      <w:r w:rsidRPr="00911915">
        <w:t>Если не произойдет кардинальных изменений в жизненном уровне россиян, то в обозримом будущем перспектива вовлечения детей и подростков в спортивные занятия и сохранения рабочих мест тренерами станет проблематичной. Следовательно, уже сегодня нужно думать о переориентации действующих спортшкол на более массовое вовлечение детей и подростков в физкультурно -оздоровительные занятия, а это потребует переподготовки действующих тренеров и подготовки специалистов новой формации.</w:t>
      </w:r>
    </w:p>
    <w:p w:rsidR="00FE75F4" w:rsidRPr="00911915" w:rsidRDefault="00FE75F4" w:rsidP="00FE75F4">
      <w:pPr>
        <w:spacing w:before="120"/>
        <w:ind w:firstLine="567"/>
        <w:jc w:val="both"/>
      </w:pPr>
      <w:r w:rsidRPr="00911915">
        <w:t>Выход из сложившегося положения представляется в создании оптимальных условий для занятий массовым спортом, в которые включить лиц с ограниченными возможностями по состоянию здоровья, а также освобожденных от уроков физкультуры, инвалидов и физически слабо подготовленных, имеющих мало шансов достичь вершин спортивного мастерства. А к специализированным тренировкам допускать исключительно тех, у кого не наблюдается противопоказаний по состоянию здоровья, и имеющих перспективу достижения высоких результатов.</w:t>
      </w:r>
    </w:p>
    <w:p w:rsidR="00FE75F4" w:rsidRPr="00911915" w:rsidRDefault="00FE75F4" w:rsidP="00FE75F4">
      <w:pPr>
        <w:spacing w:before="120"/>
        <w:ind w:firstLine="567"/>
        <w:jc w:val="both"/>
      </w:pPr>
      <w:r w:rsidRPr="00911915">
        <w:t xml:space="preserve">Это позволит в пределах средств, выделяемых на содержание спортшкол, значительно увеличить число занимающихся массовым оздоровительным спортом. При этом ориентирами должны оставаться: доступность занятий, качество тренировочного процесса, индивидуальный подход к занимающимся, внедрение инноваций и отечественного опыта работы в этих направлениях. </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75F4"/>
    <w:rsid w:val="00002B5A"/>
    <w:rsid w:val="00065CA8"/>
    <w:rsid w:val="000726E2"/>
    <w:rsid w:val="0010437E"/>
    <w:rsid w:val="00316F32"/>
    <w:rsid w:val="00436FB8"/>
    <w:rsid w:val="00471678"/>
    <w:rsid w:val="00551E79"/>
    <w:rsid w:val="00616072"/>
    <w:rsid w:val="006A5004"/>
    <w:rsid w:val="00710178"/>
    <w:rsid w:val="0081563E"/>
    <w:rsid w:val="008B35EE"/>
    <w:rsid w:val="00905CC1"/>
    <w:rsid w:val="00911915"/>
    <w:rsid w:val="009A39B7"/>
    <w:rsid w:val="00AB6AA7"/>
    <w:rsid w:val="00B42C45"/>
    <w:rsid w:val="00B47B6A"/>
    <w:rsid w:val="00BB6D71"/>
    <w:rsid w:val="00D0583B"/>
    <w:rsid w:val="00FE75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75F4"/>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FE75F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4183</Words>
  <Characters>28112</Characters>
  <Application>Microsoft Office Word</Application>
  <DocSecurity>0</DocSecurity>
  <Lines>461</Lines>
  <Paragraphs>105</Paragraphs>
  <ScaleCrop>false</ScaleCrop>
  <HeadingPairs>
    <vt:vector size="2" baseType="variant">
      <vt:variant>
        <vt:lpstr>Название</vt:lpstr>
      </vt:variant>
      <vt:variant>
        <vt:i4>1</vt:i4>
      </vt:variant>
    </vt:vector>
  </HeadingPairs>
  <TitlesOfParts>
    <vt:vector size="1" baseType="lpstr">
      <vt:lpstr>Социальная значимость физической культуры и спорта в современных условиях развития России</vt:lpstr>
    </vt:vector>
  </TitlesOfParts>
  <Company/>
  <LinksUpToDate>false</LinksUpToDate>
  <CharactersWithSpaces>32197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Социальная значимость физической культуры и спорта в современных условиях развития России</dc:title>
  <dc:subject/>
  <dc:creator/>
  <cp:keywords/>
  <dc:description/>
  <cp:lastModifiedBy>Alex</cp:lastModifiedBy>
  <cp:revision>2</cp:revision>
  <dcterms:created xsi:type="dcterms:W3CDTF">2016-12-18T02:07:00Z</dcterms:created>
  <dcterms:modified xsi:type="dcterms:W3CDTF">2016-12-18T02:07:00Z</dcterms:modified>
</cp:coreProperties>
</file>