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145A" w:rsidRDefault="004B145A">
      <w:pPr>
        <w:pStyle w:val="a3"/>
        <w:rPr>
          <w:sz w:val="32"/>
        </w:rPr>
      </w:pPr>
      <w:bookmarkStart w:id="0" w:name="_GoBack"/>
      <w:bookmarkEnd w:id="0"/>
      <w:r>
        <w:rPr>
          <w:sz w:val="32"/>
        </w:rPr>
        <w:t>Министерство РФ по связи и информатизации</w:t>
      </w:r>
    </w:p>
    <w:p w:rsidR="004B145A" w:rsidRDefault="004B145A">
      <w:pPr>
        <w:rPr>
          <w:rFonts w:ascii="Arial Narrow" w:hAnsi="Arial Narrow"/>
        </w:rPr>
      </w:pPr>
    </w:p>
    <w:p w:rsidR="004B145A" w:rsidRDefault="004B145A">
      <w:pPr>
        <w:rPr>
          <w:rFonts w:ascii="Arial Narrow" w:hAnsi="Arial Narrow"/>
        </w:rPr>
      </w:pPr>
    </w:p>
    <w:p w:rsidR="004B145A" w:rsidRDefault="004B145A">
      <w:pPr>
        <w:pStyle w:val="1"/>
        <w:rPr>
          <w:sz w:val="36"/>
        </w:rPr>
      </w:pPr>
      <w:r>
        <w:rPr>
          <w:sz w:val="36"/>
        </w:rPr>
        <w:t>Сибирский Государственный Университет Телекоммуникаций и Информатики</w:t>
      </w: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pStyle w:val="3"/>
      </w:pPr>
      <w:r>
        <w:t>Кафедра физического воспитания</w:t>
      </w: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pStyle w:val="2"/>
        <w:rPr>
          <w:sz w:val="36"/>
        </w:rPr>
      </w:pPr>
      <w:r>
        <w:rPr>
          <w:sz w:val="36"/>
        </w:rPr>
        <w:t>Реферат</w:t>
      </w:r>
    </w:p>
    <w:p w:rsidR="004B145A" w:rsidRDefault="004B145A">
      <w:pPr>
        <w:pStyle w:val="a4"/>
      </w:pPr>
      <w:r>
        <w:t>На тему:</w:t>
      </w:r>
    </w:p>
    <w:p w:rsidR="004B145A" w:rsidRDefault="004B145A">
      <w:pPr>
        <w:pStyle w:val="a4"/>
        <w:rPr>
          <w:b/>
          <w:bCs/>
          <w:sz w:val="36"/>
        </w:rPr>
      </w:pPr>
      <w:r>
        <w:rPr>
          <w:b/>
          <w:bCs/>
          <w:sz w:val="36"/>
        </w:rPr>
        <w:t>«Составление комплексов упражнений при заболеваниях опорно-двигательного аппарата»</w:t>
      </w: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pStyle w:val="a5"/>
        <w:ind w:left="5760"/>
        <w:rPr>
          <w:sz w:val="28"/>
        </w:rPr>
      </w:pPr>
      <w:r>
        <w:rPr>
          <w:sz w:val="28"/>
        </w:rPr>
        <w:t>Выполнил: студент группы С-08 ХХХ</w:t>
      </w:r>
    </w:p>
    <w:p w:rsidR="004B145A" w:rsidRDefault="004B145A">
      <w:pPr>
        <w:ind w:left="5760"/>
        <w:rPr>
          <w:rFonts w:ascii="Arial Narrow" w:hAnsi="Arial Narrow"/>
          <w:sz w:val="28"/>
        </w:rPr>
      </w:pPr>
      <w:r>
        <w:rPr>
          <w:rFonts w:ascii="Arial Narrow" w:hAnsi="Arial Narrow"/>
          <w:sz w:val="28"/>
        </w:rPr>
        <w:t>Проверил: Войтенко Л. Д.</w:t>
      </w: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rPr>
          <w:rFonts w:ascii="Arial Narrow" w:hAnsi="Arial Narrow"/>
        </w:rPr>
      </w:pPr>
    </w:p>
    <w:p w:rsidR="004B145A" w:rsidRDefault="004B145A">
      <w:pPr>
        <w:pStyle w:val="4"/>
      </w:pPr>
      <w:r>
        <w:t>Новосибирск 2003</w:t>
      </w:r>
    </w:p>
    <w:p w:rsidR="004B145A" w:rsidRDefault="004B145A">
      <w:pPr>
        <w:jc w:val="center"/>
        <w:rPr>
          <w:rFonts w:ascii="Arial Narrow" w:hAnsi="Arial Narrow"/>
          <w:sz w:val="32"/>
        </w:rPr>
      </w:pPr>
      <w:r>
        <w:rPr>
          <w:rFonts w:ascii="Arial Narrow" w:hAnsi="Arial Narrow"/>
        </w:rPr>
        <w:br w:type="page"/>
      </w:r>
      <w:r>
        <w:rPr>
          <w:rFonts w:ascii="Arial Narrow" w:hAnsi="Arial Narrow"/>
          <w:sz w:val="32"/>
        </w:rPr>
        <w:t>Содержание:</w:t>
      </w:r>
    </w:p>
    <w:p w:rsidR="004B145A" w:rsidRDefault="004B145A">
      <w:pPr>
        <w:jc w:val="center"/>
        <w:rPr>
          <w:rFonts w:ascii="Arial Narrow" w:hAnsi="Arial Narrow"/>
          <w:sz w:val="32"/>
        </w:rPr>
      </w:pPr>
    </w:p>
    <w:tbl>
      <w:tblPr>
        <w:tblW w:w="0" w:type="auto"/>
        <w:jc w:val="center"/>
        <w:tblCellSpacing w:w="28" w:type="dxa"/>
        <w:tblBorders>
          <w:insideH w:val="single" w:sz="4" w:space="0" w:color="auto"/>
        </w:tblBorders>
        <w:tblLook w:val="0000" w:firstRow="0" w:lastRow="0" w:firstColumn="0" w:lastColumn="0" w:noHBand="0" w:noVBand="0"/>
      </w:tblPr>
      <w:tblGrid>
        <w:gridCol w:w="551"/>
        <w:gridCol w:w="7874"/>
        <w:gridCol w:w="1258"/>
      </w:tblGrid>
      <w:tr w:rsidR="004B145A">
        <w:trPr>
          <w:tblCellSpacing w:w="28" w:type="dxa"/>
          <w:jc w:val="center"/>
        </w:trPr>
        <w:tc>
          <w:tcPr>
            <w:tcW w:w="468" w:type="dxa"/>
            <w:vAlign w:val="center"/>
          </w:tcPr>
          <w:p w:rsidR="004B145A" w:rsidRDefault="004B145A">
            <w:pPr>
              <w:jc w:val="right"/>
              <w:rPr>
                <w:rFonts w:ascii="Arial Narrow" w:hAnsi="Arial Narrow"/>
                <w:sz w:val="28"/>
              </w:rPr>
            </w:pPr>
            <w:r>
              <w:rPr>
                <w:rFonts w:ascii="Arial Narrow" w:hAnsi="Arial Narrow"/>
                <w:sz w:val="28"/>
              </w:rPr>
              <w:t>1.</w:t>
            </w:r>
          </w:p>
        </w:tc>
        <w:tc>
          <w:tcPr>
            <w:tcW w:w="7920" w:type="dxa"/>
            <w:vAlign w:val="center"/>
          </w:tcPr>
          <w:p w:rsidR="004B145A" w:rsidRDefault="004B145A">
            <w:pPr>
              <w:pStyle w:val="5"/>
            </w:pPr>
            <w:r>
              <w:t>Введение</w:t>
            </w:r>
          </w:p>
        </w:tc>
        <w:tc>
          <w:tcPr>
            <w:tcW w:w="1183" w:type="dxa"/>
            <w:vAlign w:val="center"/>
          </w:tcPr>
          <w:p w:rsidR="004B145A" w:rsidRDefault="004B145A">
            <w:pPr>
              <w:rPr>
                <w:rFonts w:ascii="Arial Narrow" w:hAnsi="Arial Narrow"/>
                <w:sz w:val="28"/>
              </w:rPr>
            </w:pPr>
            <w:r>
              <w:rPr>
                <w:rFonts w:ascii="Arial Narrow" w:hAnsi="Arial Narrow"/>
                <w:sz w:val="28"/>
              </w:rPr>
              <w:t>3 стр.</w:t>
            </w:r>
          </w:p>
        </w:tc>
      </w:tr>
      <w:tr w:rsidR="004B145A">
        <w:trPr>
          <w:tblCellSpacing w:w="28" w:type="dxa"/>
          <w:jc w:val="center"/>
        </w:trPr>
        <w:tc>
          <w:tcPr>
            <w:tcW w:w="468" w:type="dxa"/>
            <w:vAlign w:val="center"/>
          </w:tcPr>
          <w:p w:rsidR="004B145A" w:rsidRDefault="004B145A">
            <w:pPr>
              <w:jc w:val="right"/>
              <w:rPr>
                <w:rFonts w:ascii="Arial Narrow" w:hAnsi="Arial Narrow"/>
                <w:sz w:val="28"/>
              </w:rPr>
            </w:pPr>
            <w:r>
              <w:rPr>
                <w:rFonts w:ascii="Arial Narrow" w:hAnsi="Arial Narrow"/>
                <w:sz w:val="28"/>
              </w:rPr>
              <w:t>2.</w:t>
            </w:r>
          </w:p>
        </w:tc>
        <w:tc>
          <w:tcPr>
            <w:tcW w:w="7920" w:type="dxa"/>
            <w:vAlign w:val="center"/>
          </w:tcPr>
          <w:p w:rsidR="004B145A" w:rsidRDefault="004B145A">
            <w:pPr>
              <w:rPr>
                <w:rFonts w:ascii="Arial Narrow" w:hAnsi="Arial Narrow"/>
                <w:sz w:val="28"/>
              </w:rPr>
            </w:pPr>
            <w:r>
              <w:rPr>
                <w:rFonts w:ascii="Arial Narrow" w:hAnsi="Arial Narrow"/>
                <w:sz w:val="28"/>
              </w:rPr>
              <w:t>Что такое опорно-двигательный аппарат?</w:t>
            </w:r>
          </w:p>
        </w:tc>
        <w:tc>
          <w:tcPr>
            <w:tcW w:w="1183" w:type="dxa"/>
            <w:vAlign w:val="center"/>
          </w:tcPr>
          <w:p w:rsidR="004B145A" w:rsidRDefault="004B145A">
            <w:pPr>
              <w:rPr>
                <w:rFonts w:ascii="Arial Narrow" w:hAnsi="Arial Narrow"/>
                <w:sz w:val="28"/>
              </w:rPr>
            </w:pPr>
            <w:r>
              <w:rPr>
                <w:rFonts w:ascii="Arial Narrow" w:hAnsi="Arial Narrow"/>
                <w:sz w:val="28"/>
              </w:rPr>
              <w:t>4 стр.</w:t>
            </w:r>
          </w:p>
        </w:tc>
      </w:tr>
      <w:tr w:rsidR="004B145A">
        <w:trPr>
          <w:tblCellSpacing w:w="28" w:type="dxa"/>
          <w:jc w:val="center"/>
        </w:trPr>
        <w:tc>
          <w:tcPr>
            <w:tcW w:w="468" w:type="dxa"/>
            <w:vAlign w:val="center"/>
          </w:tcPr>
          <w:p w:rsidR="004B145A" w:rsidRDefault="004B145A">
            <w:pPr>
              <w:jc w:val="right"/>
              <w:rPr>
                <w:rFonts w:ascii="Arial Narrow" w:hAnsi="Arial Narrow"/>
                <w:sz w:val="28"/>
              </w:rPr>
            </w:pPr>
            <w:r>
              <w:rPr>
                <w:rFonts w:ascii="Arial Narrow" w:hAnsi="Arial Narrow"/>
                <w:sz w:val="28"/>
              </w:rPr>
              <w:t>3.</w:t>
            </w:r>
          </w:p>
        </w:tc>
        <w:tc>
          <w:tcPr>
            <w:tcW w:w="7920" w:type="dxa"/>
            <w:vAlign w:val="center"/>
          </w:tcPr>
          <w:p w:rsidR="004B145A" w:rsidRDefault="004B145A">
            <w:pPr>
              <w:rPr>
                <w:rFonts w:ascii="Arial Narrow" w:hAnsi="Arial Narrow"/>
                <w:sz w:val="28"/>
              </w:rPr>
            </w:pPr>
            <w:r>
              <w:rPr>
                <w:rFonts w:ascii="Arial Narrow" w:hAnsi="Arial Narrow"/>
                <w:sz w:val="28"/>
              </w:rPr>
              <w:t>В чём причины заболевания?</w:t>
            </w:r>
          </w:p>
        </w:tc>
        <w:tc>
          <w:tcPr>
            <w:tcW w:w="1183" w:type="dxa"/>
            <w:vAlign w:val="center"/>
          </w:tcPr>
          <w:p w:rsidR="004B145A" w:rsidRDefault="004B145A">
            <w:pPr>
              <w:rPr>
                <w:rFonts w:ascii="Arial Narrow" w:hAnsi="Arial Narrow"/>
                <w:sz w:val="28"/>
              </w:rPr>
            </w:pPr>
            <w:r>
              <w:rPr>
                <w:rFonts w:ascii="Arial Narrow" w:hAnsi="Arial Narrow"/>
                <w:sz w:val="28"/>
              </w:rPr>
              <w:t>6 стр.</w:t>
            </w:r>
          </w:p>
        </w:tc>
      </w:tr>
      <w:tr w:rsidR="004B145A">
        <w:trPr>
          <w:tblCellSpacing w:w="28" w:type="dxa"/>
          <w:jc w:val="center"/>
        </w:trPr>
        <w:tc>
          <w:tcPr>
            <w:tcW w:w="468" w:type="dxa"/>
            <w:vAlign w:val="center"/>
          </w:tcPr>
          <w:p w:rsidR="004B145A" w:rsidRDefault="004B145A">
            <w:pPr>
              <w:jc w:val="right"/>
              <w:rPr>
                <w:rFonts w:ascii="Arial Narrow" w:hAnsi="Arial Narrow"/>
                <w:sz w:val="28"/>
              </w:rPr>
            </w:pPr>
            <w:r>
              <w:rPr>
                <w:rFonts w:ascii="Arial Narrow" w:hAnsi="Arial Narrow"/>
                <w:sz w:val="28"/>
              </w:rPr>
              <w:t>4.</w:t>
            </w:r>
          </w:p>
        </w:tc>
        <w:tc>
          <w:tcPr>
            <w:tcW w:w="7920" w:type="dxa"/>
            <w:vAlign w:val="center"/>
          </w:tcPr>
          <w:p w:rsidR="004B145A" w:rsidRDefault="004B145A">
            <w:pPr>
              <w:rPr>
                <w:rFonts w:ascii="Arial Narrow" w:hAnsi="Arial Narrow"/>
                <w:sz w:val="28"/>
              </w:rPr>
            </w:pPr>
            <w:r>
              <w:rPr>
                <w:rFonts w:ascii="Arial Narrow" w:hAnsi="Arial Narrow"/>
                <w:sz w:val="28"/>
              </w:rPr>
              <w:t>Что делать?</w:t>
            </w:r>
          </w:p>
        </w:tc>
        <w:tc>
          <w:tcPr>
            <w:tcW w:w="1183" w:type="dxa"/>
            <w:vAlign w:val="center"/>
          </w:tcPr>
          <w:p w:rsidR="004B145A" w:rsidRDefault="004B145A">
            <w:pPr>
              <w:rPr>
                <w:rFonts w:ascii="Arial Narrow" w:hAnsi="Arial Narrow"/>
                <w:sz w:val="28"/>
              </w:rPr>
            </w:pPr>
            <w:r>
              <w:rPr>
                <w:rFonts w:ascii="Arial Narrow" w:hAnsi="Arial Narrow"/>
                <w:sz w:val="28"/>
              </w:rPr>
              <w:t>7 стр.</w:t>
            </w:r>
          </w:p>
        </w:tc>
      </w:tr>
      <w:tr w:rsidR="004B145A">
        <w:trPr>
          <w:tblCellSpacing w:w="28" w:type="dxa"/>
          <w:jc w:val="center"/>
        </w:trPr>
        <w:tc>
          <w:tcPr>
            <w:tcW w:w="468" w:type="dxa"/>
            <w:vAlign w:val="center"/>
          </w:tcPr>
          <w:p w:rsidR="004B145A" w:rsidRDefault="004B145A">
            <w:pPr>
              <w:jc w:val="right"/>
              <w:rPr>
                <w:rFonts w:ascii="Arial Narrow" w:hAnsi="Arial Narrow"/>
                <w:sz w:val="28"/>
              </w:rPr>
            </w:pPr>
            <w:r>
              <w:rPr>
                <w:rFonts w:ascii="Arial Narrow" w:hAnsi="Arial Narrow"/>
                <w:sz w:val="28"/>
              </w:rPr>
              <w:t>5.</w:t>
            </w:r>
          </w:p>
        </w:tc>
        <w:tc>
          <w:tcPr>
            <w:tcW w:w="7920" w:type="dxa"/>
            <w:vAlign w:val="center"/>
          </w:tcPr>
          <w:p w:rsidR="004B145A" w:rsidRDefault="004B145A">
            <w:pPr>
              <w:rPr>
                <w:rFonts w:ascii="Arial Narrow" w:hAnsi="Arial Narrow"/>
                <w:sz w:val="28"/>
              </w:rPr>
            </w:pPr>
            <w:r>
              <w:rPr>
                <w:rFonts w:ascii="Arial Narrow" w:hAnsi="Arial Narrow"/>
                <w:sz w:val="28"/>
              </w:rPr>
              <w:t>Список использованной литературы</w:t>
            </w:r>
          </w:p>
        </w:tc>
        <w:tc>
          <w:tcPr>
            <w:tcW w:w="1183" w:type="dxa"/>
            <w:vAlign w:val="center"/>
          </w:tcPr>
          <w:p w:rsidR="004B145A" w:rsidRDefault="004B145A">
            <w:pPr>
              <w:rPr>
                <w:rFonts w:ascii="Arial Narrow" w:hAnsi="Arial Narrow"/>
                <w:sz w:val="28"/>
              </w:rPr>
            </w:pPr>
            <w:r>
              <w:rPr>
                <w:rFonts w:ascii="Arial Narrow" w:hAnsi="Arial Narrow"/>
                <w:sz w:val="28"/>
              </w:rPr>
              <w:t>11 стр.</w:t>
            </w:r>
          </w:p>
        </w:tc>
      </w:tr>
    </w:tbl>
    <w:p w:rsidR="004B145A" w:rsidRDefault="004B145A">
      <w:pPr>
        <w:jc w:val="center"/>
        <w:rPr>
          <w:rFonts w:ascii="Arial Narrow" w:hAnsi="Arial Narrow"/>
          <w:sz w:val="28"/>
        </w:rPr>
      </w:pPr>
    </w:p>
    <w:p w:rsidR="004B145A" w:rsidRDefault="004B145A">
      <w:pPr>
        <w:numPr>
          <w:ilvl w:val="0"/>
          <w:numId w:val="1"/>
        </w:numPr>
        <w:spacing w:line="360" w:lineRule="auto"/>
        <w:jc w:val="center"/>
        <w:rPr>
          <w:rFonts w:ascii="Arial Narrow" w:hAnsi="Arial Narrow"/>
          <w:sz w:val="32"/>
        </w:rPr>
      </w:pPr>
      <w:r>
        <w:rPr>
          <w:rFonts w:ascii="Arial Narrow" w:hAnsi="Arial Narrow"/>
          <w:sz w:val="28"/>
        </w:rPr>
        <w:br w:type="page"/>
      </w:r>
      <w:r>
        <w:rPr>
          <w:rFonts w:ascii="Arial Narrow" w:hAnsi="Arial Narrow"/>
          <w:sz w:val="32"/>
        </w:rPr>
        <w:t>Введение.</w:t>
      </w:r>
    </w:p>
    <w:p w:rsidR="004B145A" w:rsidRDefault="004B145A">
      <w:pPr>
        <w:pStyle w:val="20"/>
        <w:spacing w:line="360" w:lineRule="auto"/>
        <w:jc w:val="both"/>
      </w:pPr>
      <w:r>
        <w:t>В данном реферате я хочу рассказать о том, что такое опорно-двигательный аппарат, как сохранить его здоровье, и что является причиной его заболеваний. Будут приведены примеры выполнения упражнений на сохранение здоровья, крепости суставов, силы мышц.</w:t>
      </w:r>
    </w:p>
    <w:p w:rsidR="004B145A" w:rsidRDefault="004B145A">
      <w:pPr>
        <w:numPr>
          <w:ilvl w:val="0"/>
          <w:numId w:val="1"/>
        </w:numPr>
        <w:spacing w:line="360" w:lineRule="auto"/>
        <w:jc w:val="center"/>
        <w:rPr>
          <w:rFonts w:ascii="Arial Narrow" w:hAnsi="Arial Narrow"/>
          <w:sz w:val="32"/>
        </w:rPr>
      </w:pPr>
      <w:r>
        <w:rPr>
          <w:rFonts w:ascii="Arial Narrow" w:hAnsi="Arial Narrow"/>
          <w:sz w:val="28"/>
        </w:rPr>
        <w:br w:type="page"/>
      </w:r>
      <w:r>
        <w:rPr>
          <w:rFonts w:ascii="Arial Narrow" w:hAnsi="Arial Narrow"/>
          <w:sz w:val="32"/>
        </w:rPr>
        <w:t>Что такое опорно-двигательный аппарат?</w:t>
      </w:r>
    </w:p>
    <w:p w:rsidR="004B145A" w:rsidRDefault="004B145A">
      <w:pPr>
        <w:pStyle w:val="20"/>
        <w:spacing w:line="360" w:lineRule="auto"/>
        <w:jc w:val="both"/>
      </w:pPr>
      <w:r>
        <w:t>«Опорно-двигательный аппарат составляют кости скелета с суставами, связки и мышцы с сухожилиями, которые наряду с движениями обеспечивают опорную функцию организма. Кости и суставы участвуют в движении пассивно, подчиняясь действию мышц, но играют ведущую роль в осуществлении опорной функции. Определённая форма и строение костей придают им большую прочность, запас которой на сжатие, растяжение, сгибание значительно превышают нагрузки, возможные при повседневной работе опорно-двигательного аппарата. Например, большеберцовая кость человека при сжатии  выдерживает нагрузку более тонны, а по прочности растяжение почти не уступает чугуну. Большим запасом прочности обладают также связки и хрящи суставов.</w:t>
      </w:r>
    </w:p>
    <w:p w:rsidR="004B145A" w:rsidRDefault="004B145A">
      <w:pPr>
        <w:pStyle w:val="20"/>
        <w:spacing w:line="360" w:lineRule="auto"/>
        <w:jc w:val="both"/>
      </w:pPr>
      <w:r>
        <w:t>Скелетные мышцы осуществляют как статическую деятельность, фиксируя тело в определённом положении, так и динамическую, обеспечивая перемещение тела в пространстве и отдельных его частей относительно друг друга. Оба вида мышечной деятельности тесно взаимодействуют, дополняя друг друга: статическая деятельность обеспечивает естественный фон для динамической. Как правило, положение сустава изменяется с помощью нескольких мышц разнонаправленного, в том числе противоположного, действия. Сложные движения сустава выполняются согласованным, одновременным или последовательным сокращением мышц ненаправленного действия. Согласованность (координация) особенно необходима для выполнения двигательных актов, в которых участвуют многие суставы (например, бег на лыжах, плавание).</w:t>
      </w:r>
    </w:p>
    <w:p w:rsidR="004B145A" w:rsidRDefault="004B145A">
      <w:pPr>
        <w:pStyle w:val="20"/>
        <w:spacing w:line="360" w:lineRule="auto"/>
        <w:jc w:val="both"/>
      </w:pPr>
      <w:r>
        <w:t>Скелетные мышцы представляют собой не только исполнительный двигательный аппарат, но и своеобразные орган чувств. В мышечном волокне и сухожилиях имеются специальные нервные окончания – рецепторы, которые посылают импульсы к клеткам различных уровней центральной нервной системы. В результате создаётся замкнутый цикл: импульсы от различных образований центральной нервной системы, идущие по двигательным нервам, вызывают сокращение мышц, а импульсы, посылаемые рецепторами мышц, информируют центральную нервную систему о каждом элементе системы. Циклическая система связей обеспечивает точность движениям и их координацию. Хотя управление движением скелетных мышц осуществляется различными разделами центральной нервной системы, ведущая роль в обеспечении взаимодействия и постановке цели двигательной реакции принадлежит коре больших полушарий головного мозга. В коре больший полушарий двигательная и чувствительная зоны представительств образуют единую систему, при этом каждой мышечной группе соответствует определённый участок этих зон. Подобная взаимосвязь позволяет выполнять движения, относя их действующим на организм факторами окружающей среды. Схематически управление произвольными движениями может быть представлено следующим образом. Задачи и цель двигательного действия формируются мышлением, что определяет направленность внимания и усилий человека. Мышление и эмоции аккумулируют и направляют эти усилия. Механизмы высшей нервной деятельности формируют взаимодействие психофизиологических механизмов управления движениями на различных уровнях. На основе взаимодействия опорно-двигательного аппарата обеспечиваются развёртывание и коррекция двигательной активности. Большую роль в осуществлении двигательной реакции осуществляют анализаторы. Двигательный анализатор обеспечивает динамику и взаимосвязь мышечных сокращений, участвует в пространственной и временной организации двигательного акта. Анализатор равновесия, или вестибулярный анализатор, взаимодействует с двигательным анализатором при изменении положения тела в пространстве. Зрение и слух, активно воспринимая информацию из окружающей среды, участвуют в пространственной ориентации и коррекции двигательных реакций.» [1, 103]</w:t>
      </w:r>
    </w:p>
    <w:p w:rsidR="004B145A" w:rsidRDefault="004B145A">
      <w:pPr>
        <w:numPr>
          <w:ilvl w:val="0"/>
          <w:numId w:val="1"/>
        </w:numPr>
        <w:spacing w:line="360" w:lineRule="auto"/>
        <w:jc w:val="center"/>
        <w:rPr>
          <w:rFonts w:ascii="Arial Narrow" w:hAnsi="Arial Narrow"/>
          <w:sz w:val="32"/>
        </w:rPr>
      </w:pPr>
      <w:r>
        <w:br w:type="page"/>
      </w:r>
      <w:r>
        <w:rPr>
          <w:rFonts w:ascii="Arial Narrow" w:hAnsi="Arial Narrow"/>
          <w:sz w:val="32"/>
        </w:rPr>
        <w:t>В чём причины заболевания?</w:t>
      </w:r>
    </w:p>
    <w:p w:rsidR="004B145A" w:rsidRDefault="004B145A">
      <w:pPr>
        <w:pStyle w:val="20"/>
        <w:spacing w:line="360" w:lineRule="auto"/>
        <w:jc w:val="both"/>
      </w:pPr>
      <w:r>
        <w:t>Основной из причин заболевания опорно-двигательного аппарата является недостаток двигательной активности – гиподинамия. Она возникает «в связи с активной заменой ручного труда механизированным, развитием бытовой техники, транспортных средств и т. д. Неблагоприятно сказывается на состоянии всех органов и систем организма, способствует появлению избыточного веса тела, развитию ожирения, атеросклероза, гипертонической болезни, ишемической болезни сердца.» [1, 103]</w:t>
      </w:r>
    </w:p>
    <w:p w:rsidR="004B145A" w:rsidRDefault="004B145A">
      <w:pPr>
        <w:pStyle w:val="20"/>
        <w:spacing w:line="360" w:lineRule="auto"/>
        <w:jc w:val="both"/>
      </w:pPr>
      <w:r>
        <w:t>«У пожилых людей под влиянием естественных возрастных изменений нервных структур и опорно-двигательного аппарата уменьшаются объём и быстрота движений, нарушается координация сложных и тонких движений, ослабляется тонус мышц, возникает некоторая скованность. Всё это обычно проявляется раньше и в более выраженной форме у тех, кто ведёт сидячий образ жизни.» [1, 103]</w:t>
      </w:r>
    </w:p>
    <w:p w:rsidR="004B145A" w:rsidRDefault="004B145A">
      <w:pPr>
        <w:pStyle w:val="20"/>
        <w:spacing w:line="360" w:lineRule="auto"/>
        <w:jc w:val="both"/>
      </w:pPr>
      <w:r>
        <w:t>«Отсутствие двигательной активности мышц, окружающих кости, приводит к нарушению обмена веществ в костной ткани и потере их прочности, отсюда плохая осанка, узкие плечи, впалая грудь и другое, что вредно отражается на здоровье внутренних органов.» [2, 144]</w:t>
      </w:r>
    </w:p>
    <w:p w:rsidR="004B145A" w:rsidRDefault="004B145A">
      <w:pPr>
        <w:pStyle w:val="20"/>
        <w:spacing w:line="360" w:lineRule="auto"/>
        <w:jc w:val="both"/>
      </w:pPr>
      <w:r>
        <w:t>«Отсутствие достаточной двигательной активности в режиме дня приводит к разрыхлению суставного хряща и изменению поверхностей, сочленяющихся костей, к появлению болевых ощущений, создаются условия для образования в них воспалительных процессов.» [2, 144-145]</w:t>
      </w:r>
    </w:p>
    <w:p w:rsidR="004B145A" w:rsidRDefault="004B145A">
      <w:pPr>
        <w:numPr>
          <w:ilvl w:val="0"/>
          <w:numId w:val="1"/>
        </w:numPr>
        <w:spacing w:line="360" w:lineRule="auto"/>
        <w:jc w:val="center"/>
        <w:rPr>
          <w:rFonts w:ascii="Arial Narrow" w:hAnsi="Arial Narrow"/>
          <w:sz w:val="32"/>
        </w:rPr>
      </w:pPr>
      <w:r>
        <w:br w:type="page"/>
      </w:r>
      <w:r>
        <w:rPr>
          <w:rFonts w:ascii="Arial Narrow" w:hAnsi="Arial Narrow"/>
          <w:sz w:val="32"/>
        </w:rPr>
        <w:t>Что делать?</w:t>
      </w:r>
    </w:p>
    <w:p w:rsidR="004B145A" w:rsidRDefault="004B145A">
      <w:pPr>
        <w:pStyle w:val="20"/>
        <w:spacing w:line="360" w:lineRule="auto"/>
        <w:jc w:val="both"/>
      </w:pPr>
      <w:r>
        <w:t>«Занятие физическими упражнениями и спортом увеличивают прочность костной ткани, способствуют более прочному прикреплению к костям мышечных сухожилий, укрепляют позвоночник и ликвидируют в нём нежелательные искривления, способствуют расширению грудной клетки и выработке хорошей осанки.</w:t>
      </w:r>
    </w:p>
    <w:p w:rsidR="004B145A" w:rsidRDefault="004B145A">
      <w:pPr>
        <w:pStyle w:val="20"/>
        <w:spacing w:line="360" w:lineRule="auto"/>
        <w:jc w:val="both"/>
      </w:pPr>
      <w:r>
        <w:t>Главная функция суставов – осуществление движения. Вместе с этим они выполняют роль демпферов, своеобразных тормозов, гасящих инерцию движения и позволяющих производить мгновенную остановку после быстрого движения. Суставы при систематических занятиях физическими упражнениями и спортом развиваются, повышается эластичность их связок и мышечных сухожилий, увеличивается гибкость.» [2, 144]</w:t>
      </w:r>
    </w:p>
    <w:p w:rsidR="004B145A" w:rsidRDefault="004B145A">
      <w:pPr>
        <w:pStyle w:val="20"/>
        <w:spacing w:line="360" w:lineRule="auto"/>
        <w:jc w:val="both"/>
      </w:pPr>
      <w:r>
        <w:t>«При работе мышцы развивают определённую силу, которую можно измерить. Сила зависит от количества мышечных волокон и их поперечного сечения, а также от эластичности и исходной длины отдельной мышцы. Систематическая физическая тренировка увеличивает силу мышц именно за счёт увеличения количества и утолщения мышечных волокон и за счёт увеличения их эластичности.</w:t>
      </w:r>
    </w:p>
    <w:p w:rsidR="004B145A" w:rsidRDefault="004B145A">
      <w:pPr>
        <w:pStyle w:val="20"/>
        <w:spacing w:line="360" w:lineRule="auto"/>
        <w:jc w:val="both"/>
      </w:pPr>
      <w:r>
        <w:t>Подсчитано, что все мышцы человека содержат около 300 млн. мышечных волокон. Многие скелетные мышцы обладают силой, превышающей вес тела. Если деятельность волокон всех мышц направить в одну сторону, то при одновременном сокращении они могли бы развить силу в 25 000 кгм.» [2, 145]</w:t>
      </w:r>
    </w:p>
    <w:p w:rsidR="004B145A" w:rsidRDefault="004B145A">
      <w:pPr>
        <w:pStyle w:val="20"/>
        <w:spacing w:line="360" w:lineRule="auto"/>
        <w:jc w:val="both"/>
      </w:pPr>
      <w:r>
        <w:t>Основной физкультурной формой борьбы с заболеваниями опорно-двигательного аппарата является лечебная физкультура. Она «применяется в форме лечебной гимнастики, ходьбы, терренкура, игр, строго дозированных спортивных упражнений. Лечебная гимнастика – основная форма ЛФК. Упражнения лечебной гимнастики делят на 2 группы: для костно-мышечной и дыхательной систем.</w:t>
      </w:r>
    </w:p>
    <w:p w:rsidR="004B145A" w:rsidRDefault="004B145A">
      <w:pPr>
        <w:pStyle w:val="20"/>
        <w:spacing w:line="360" w:lineRule="auto"/>
        <w:jc w:val="both"/>
      </w:pPr>
      <w:r>
        <w:t>Первые в свою очередь подразделяются по локализации воздействия, или анатомическому принципу, - для мелких, средних и крупных мышечных групп; по степени активности больного – пассивные и активные. Пассивными называют упражнения для поражённой конечности, выполняемые больным с помощью здоровой конечности или при содействии инструктора ЛФК; активными – упражнения , выполняемые полностью самим больным.» [1, 228]</w:t>
      </w:r>
    </w:p>
    <w:p w:rsidR="004B145A" w:rsidRDefault="004B145A">
      <w:pPr>
        <w:pStyle w:val="20"/>
        <w:spacing w:line="360" w:lineRule="auto"/>
        <w:jc w:val="both"/>
      </w:pPr>
      <w:r>
        <w:t>Исходя из всего выше сказанного, можно сделать вывод, что при заболеваниях опорно-двигательного аппарата основной упор нужно делать на упражнения направленные на укрепление костной, мышечной ткани, суставов.</w:t>
      </w:r>
    </w:p>
    <w:p w:rsidR="004B145A" w:rsidRDefault="004B145A">
      <w:pPr>
        <w:pStyle w:val="20"/>
        <w:spacing w:line="360" w:lineRule="auto"/>
        <w:jc w:val="both"/>
      </w:pPr>
      <w:r>
        <w:t>Для повышения подвижности в суставах можно использовать следующие упражнения:</w:t>
      </w:r>
    </w:p>
    <w:p w:rsidR="004B145A" w:rsidRDefault="004B145A">
      <w:pPr>
        <w:pStyle w:val="20"/>
        <w:numPr>
          <w:ilvl w:val="0"/>
          <w:numId w:val="3"/>
        </w:numPr>
        <w:spacing w:line="360" w:lineRule="auto"/>
        <w:jc w:val="both"/>
      </w:pPr>
      <w:r>
        <w:t>«исходное положение – руки вперёд, ладони вниз. Движение кистями вверх, вниз, внутрь, наружу.</w:t>
      </w:r>
    </w:p>
    <w:p w:rsidR="004B145A" w:rsidRDefault="004B145A">
      <w:pPr>
        <w:pStyle w:val="20"/>
        <w:numPr>
          <w:ilvl w:val="0"/>
          <w:numId w:val="3"/>
        </w:numPr>
        <w:spacing w:line="360" w:lineRule="auto"/>
        <w:jc w:val="both"/>
      </w:pPr>
      <w:r>
        <w:t>исходное положение – руки вперёд, ладони внутрь. Движение кистями вверх, вниз, внутрь, наружу, в лучезапястном суставе.</w:t>
      </w:r>
    </w:p>
    <w:p w:rsidR="004B145A" w:rsidRDefault="004B145A">
      <w:pPr>
        <w:pStyle w:val="20"/>
        <w:numPr>
          <w:ilvl w:val="0"/>
          <w:numId w:val="3"/>
        </w:numPr>
        <w:spacing w:line="360" w:lineRule="auto"/>
        <w:jc w:val="both"/>
      </w:pPr>
      <w:r>
        <w:t>исходное положение – руки вперёд. Круговые движения в лучезапястных суставах, в локтевых и плечевых суставах.</w:t>
      </w:r>
    </w:p>
    <w:p w:rsidR="004B145A" w:rsidRDefault="004B145A">
      <w:pPr>
        <w:pStyle w:val="20"/>
        <w:numPr>
          <w:ilvl w:val="0"/>
          <w:numId w:val="3"/>
        </w:numPr>
        <w:spacing w:line="360" w:lineRule="auto"/>
        <w:jc w:val="both"/>
      </w:pPr>
      <w:r>
        <w:t>исходное положение – руки на пояс. Повороты туловища налево и направо с различным положением рук (в стороны, вверх).</w:t>
      </w:r>
    </w:p>
    <w:p w:rsidR="004B145A" w:rsidRDefault="004B145A">
      <w:pPr>
        <w:pStyle w:val="20"/>
        <w:numPr>
          <w:ilvl w:val="0"/>
          <w:numId w:val="3"/>
        </w:numPr>
        <w:spacing w:line="360" w:lineRule="auto"/>
        <w:jc w:val="both"/>
      </w:pPr>
      <w:r>
        <w:t>исходное положение – руки за голову. Круговые движения туловищем.</w:t>
      </w:r>
    </w:p>
    <w:p w:rsidR="004B145A" w:rsidRDefault="004B145A">
      <w:pPr>
        <w:pStyle w:val="20"/>
        <w:numPr>
          <w:ilvl w:val="0"/>
          <w:numId w:val="3"/>
        </w:numPr>
        <w:spacing w:line="360" w:lineRule="auto"/>
        <w:jc w:val="both"/>
      </w:pPr>
      <w:r>
        <w:t>исходное положение – руки к плечам. Круговые движения тазом влево и вправо.</w:t>
      </w:r>
    </w:p>
    <w:p w:rsidR="004B145A" w:rsidRDefault="004B145A">
      <w:pPr>
        <w:pStyle w:val="20"/>
        <w:numPr>
          <w:ilvl w:val="0"/>
          <w:numId w:val="3"/>
        </w:numPr>
        <w:spacing w:line="360" w:lineRule="auto"/>
        <w:jc w:val="both"/>
      </w:pPr>
      <w:r>
        <w:t>исходное положение – полуприсед, руки на колени. Отведение ног влево и вправо. Круговые движения в коленных суставах влево и вправо.</w:t>
      </w:r>
    </w:p>
    <w:p w:rsidR="004B145A" w:rsidRDefault="004B145A">
      <w:pPr>
        <w:pStyle w:val="20"/>
        <w:numPr>
          <w:ilvl w:val="0"/>
          <w:numId w:val="3"/>
        </w:numPr>
        <w:spacing w:line="360" w:lineRule="auto"/>
        <w:jc w:val="both"/>
      </w:pPr>
      <w:r>
        <w:t>исходное положение – основная стойка. Наклон влево, вправо.</w:t>
      </w:r>
    </w:p>
    <w:p w:rsidR="004B145A" w:rsidRDefault="004B145A">
      <w:pPr>
        <w:pStyle w:val="20"/>
        <w:numPr>
          <w:ilvl w:val="0"/>
          <w:numId w:val="3"/>
        </w:numPr>
        <w:spacing w:line="360" w:lineRule="auto"/>
        <w:jc w:val="both"/>
      </w:pPr>
      <w:r>
        <w:t>исходное положение – руки вверх в стороны. Наклоны вперёд до касания пола руками.</w:t>
      </w:r>
    </w:p>
    <w:p w:rsidR="004B145A" w:rsidRDefault="004B145A">
      <w:pPr>
        <w:pStyle w:val="20"/>
        <w:numPr>
          <w:ilvl w:val="0"/>
          <w:numId w:val="3"/>
        </w:numPr>
        <w:spacing w:line="360" w:lineRule="auto"/>
        <w:jc w:val="both"/>
      </w:pPr>
      <w:r>
        <w:t>исходное положение – лёжа на спине, руки вверх. Наклоны вперёд, руки к носкам.» [3, 11]</w:t>
      </w:r>
    </w:p>
    <w:p w:rsidR="004B145A" w:rsidRDefault="004B145A">
      <w:pPr>
        <w:pStyle w:val="20"/>
        <w:spacing w:line="360" w:lineRule="auto"/>
        <w:jc w:val="both"/>
      </w:pPr>
      <w:r>
        <w:t>«Упражнения для мышц рук и плечевого пояса выполняются из самых разнообразных исходных положений (стоя, упор присев, лёжа, в висе, стоя на коленях и т. д.). Движения в стороны, вверх, назад вперёд осуществляются как прямыми руками, так и согнутыми в локтевых суставах. Упражнения для рук и плечевого пояса могут широко использоваться в сочетании с упражнениями для других мышечных групп (ног и туловища и т. д.).</w:t>
      </w:r>
    </w:p>
    <w:p w:rsidR="004B145A" w:rsidRDefault="004B145A">
      <w:pPr>
        <w:pStyle w:val="20"/>
        <w:spacing w:line="360" w:lineRule="auto"/>
        <w:jc w:val="both"/>
      </w:pPr>
      <w:r>
        <w:t>Упражнения для мышц шеи – это в основном наклоны головы вперёд, назад, в стороны, повороты головы и вращательные движения.</w:t>
      </w:r>
    </w:p>
    <w:p w:rsidR="004B145A" w:rsidRDefault="004B145A">
      <w:pPr>
        <w:pStyle w:val="20"/>
        <w:spacing w:line="360" w:lineRule="auto"/>
        <w:jc w:val="both"/>
      </w:pPr>
      <w:r>
        <w:t>Упражнения для мышц ног должны подбираться с учётом всех мышечных групп, выполняющих сгибание и разгибание ног в тазобедренных, коленных и голеностопных суставах, а также отведения и приведения бёдрами. Это различные движения прямыми и согнутыми ногами, выпады вперёд, в стороны, назад, поднимания на носки, приседания на двух и одной ноге с опорой и без опоры руками, прыжки на месте, с продвижением вперёд и др.</w:t>
      </w:r>
    </w:p>
    <w:p w:rsidR="004B145A" w:rsidRDefault="004B145A">
      <w:pPr>
        <w:pStyle w:val="20"/>
        <w:spacing w:line="360" w:lineRule="auto"/>
        <w:jc w:val="both"/>
      </w:pPr>
      <w:r>
        <w:t xml:space="preserve">Упражнения для мышц туловища способствуют развитию подвижности в позвоночнике. Это в основном наклоны и повороты в различных направлениях. Выполняются они из исходного положения стоя, сидя, лёжа на животе и спине, стоя на коленях и др. После упражнений, направленных на развитие той или иной мышечной группы, должно следовать упражнение на расслабление, нормализующее мышечный тонус. Это поднимание рук и свободное, расслабленное их опускание, широкие, размашистые движения туловищем без напряжения, наклоны вперёд с опущенными руками, расслабление мышц в положении сидя, лёжа, потряхивание руками, ногами и некоторые другие.» </w:t>
      </w:r>
      <w:r>
        <w:rPr>
          <w:lang w:val="en-US"/>
        </w:rPr>
        <w:t>[</w:t>
      </w:r>
      <w:r>
        <w:t>3, 7-8</w:t>
      </w:r>
      <w:r>
        <w:rPr>
          <w:lang w:val="en-US"/>
        </w:rPr>
        <w:t>]</w:t>
      </w:r>
    </w:p>
    <w:p w:rsidR="004B145A" w:rsidRDefault="004B145A">
      <w:pPr>
        <w:pStyle w:val="20"/>
        <w:spacing w:line="360" w:lineRule="auto"/>
        <w:jc w:val="both"/>
      </w:pPr>
      <w:r>
        <w:t>«Упражнения для воспитания осанки. Как правило, с возрастом в результате ослабления мышц ног и туловища, неправильно или вынужденного положения отдельных частей тела при работе или дома осанка ухудшается. Постоянное применение специально подобранных упражнений поможет сохранить правильную и красивую осанку на долгие годы.</w:t>
      </w:r>
    </w:p>
    <w:p w:rsidR="004B145A" w:rsidRDefault="004B145A">
      <w:pPr>
        <w:pStyle w:val="20"/>
        <w:numPr>
          <w:ilvl w:val="0"/>
          <w:numId w:val="3"/>
        </w:numPr>
        <w:spacing w:line="360" w:lineRule="auto"/>
        <w:jc w:val="both"/>
      </w:pPr>
      <w:r>
        <w:t>исходное положение – руки вниз в замок. 1 – 2. Руки вверх - назад, подняться на носки, прогнуться. 3 – 4. Исходное положение.</w:t>
      </w:r>
    </w:p>
    <w:p w:rsidR="004B145A" w:rsidRDefault="004B145A">
      <w:pPr>
        <w:pStyle w:val="20"/>
        <w:numPr>
          <w:ilvl w:val="0"/>
          <w:numId w:val="3"/>
        </w:numPr>
        <w:spacing w:line="360" w:lineRule="auto"/>
        <w:jc w:val="both"/>
      </w:pPr>
      <w:r>
        <w:t>исходное положение – руки на пояс. 1 – 2. Полунаклон вперёд, подняться на носки, смотреть вперёд. 3 – 4. Исходное положение.</w:t>
      </w:r>
    </w:p>
    <w:p w:rsidR="004B145A" w:rsidRDefault="004B145A">
      <w:pPr>
        <w:pStyle w:val="20"/>
        <w:numPr>
          <w:ilvl w:val="0"/>
          <w:numId w:val="3"/>
        </w:numPr>
        <w:spacing w:line="360" w:lineRule="auto"/>
        <w:jc w:val="both"/>
      </w:pPr>
      <w:r>
        <w:t>исходное положение – палку на лопатки хватом за концы. Наклон влево. 3 – 4. Исходное положение. 5 – 8. Так же вправо.</w:t>
      </w:r>
    </w:p>
    <w:p w:rsidR="004B145A" w:rsidRDefault="004B145A">
      <w:pPr>
        <w:pStyle w:val="20"/>
        <w:numPr>
          <w:ilvl w:val="0"/>
          <w:numId w:val="3"/>
        </w:numPr>
        <w:spacing w:line="360" w:lineRule="auto"/>
        <w:jc w:val="both"/>
      </w:pPr>
      <w:r>
        <w:t>исходное положение – основная стойка. 1 – 2. Присесть на носках, руки назад за спину. 3 – 4. Исходное положение.</w:t>
      </w:r>
    </w:p>
    <w:p w:rsidR="004B145A" w:rsidRDefault="004B145A">
      <w:pPr>
        <w:pStyle w:val="20"/>
        <w:numPr>
          <w:ilvl w:val="0"/>
          <w:numId w:val="3"/>
        </w:numPr>
        <w:spacing w:line="360" w:lineRule="auto"/>
        <w:jc w:val="both"/>
      </w:pPr>
      <w:r>
        <w:t>исходное положение – упор сидя сзади. 1 – 2. Прогнуться. 3 – 4. Исходное положение.</w:t>
      </w:r>
    </w:p>
    <w:p w:rsidR="004B145A" w:rsidRDefault="004B145A">
      <w:pPr>
        <w:pStyle w:val="20"/>
        <w:numPr>
          <w:ilvl w:val="0"/>
          <w:numId w:val="3"/>
        </w:numPr>
        <w:spacing w:line="360" w:lineRule="auto"/>
        <w:jc w:val="both"/>
      </w:pPr>
      <w:r>
        <w:t xml:space="preserve">исходное положение – лёжа на полу на животе пред гимнастической стенкой. 1 – 2. Перебирая руками рейки снизу вверх, прогнуться. 3 – 4. Исходное положение.» </w:t>
      </w:r>
      <w:r>
        <w:rPr>
          <w:lang w:val="en-US"/>
        </w:rPr>
        <w:t>[</w:t>
      </w:r>
      <w:r>
        <w:t>3, 10-11</w:t>
      </w:r>
      <w:r>
        <w:rPr>
          <w:lang w:val="en-US"/>
        </w:rPr>
        <w:t>]</w:t>
      </w:r>
    </w:p>
    <w:p w:rsidR="004B145A" w:rsidRDefault="004B145A">
      <w:pPr>
        <w:numPr>
          <w:ilvl w:val="0"/>
          <w:numId w:val="1"/>
        </w:numPr>
        <w:spacing w:line="360" w:lineRule="auto"/>
        <w:jc w:val="center"/>
        <w:rPr>
          <w:rFonts w:ascii="Arial Narrow" w:hAnsi="Arial Narrow"/>
          <w:sz w:val="32"/>
        </w:rPr>
      </w:pPr>
      <w:r>
        <w:br w:type="page"/>
      </w:r>
      <w:r>
        <w:rPr>
          <w:rFonts w:ascii="Arial Narrow" w:hAnsi="Arial Narrow"/>
          <w:sz w:val="32"/>
        </w:rPr>
        <w:t>Список литературы:</w:t>
      </w:r>
    </w:p>
    <w:p w:rsidR="004B145A" w:rsidRDefault="004B145A">
      <w:pPr>
        <w:pStyle w:val="20"/>
        <w:numPr>
          <w:ilvl w:val="0"/>
          <w:numId w:val="2"/>
        </w:numPr>
        <w:spacing w:line="360" w:lineRule="auto"/>
        <w:ind w:left="1713" w:hanging="1004"/>
        <w:jc w:val="both"/>
      </w:pPr>
      <w:r>
        <w:t>«Домашняя медицинская энциклопедия», главный редактор Покровский В. И., Москва: «Медицина», 1993 год.</w:t>
      </w:r>
    </w:p>
    <w:p w:rsidR="004B145A" w:rsidRDefault="004B145A">
      <w:pPr>
        <w:pStyle w:val="20"/>
        <w:numPr>
          <w:ilvl w:val="0"/>
          <w:numId w:val="2"/>
        </w:numPr>
        <w:spacing w:line="360" w:lineRule="auto"/>
        <w:ind w:left="1713" w:hanging="1004"/>
        <w:jc w:val="both"/>
      </w:pPr>
      <w:r>
        <w:t>«Физическое воспитание», учебник, редакторы Головин В. А., Маслякова В. А., Коробкова А. В. и др., Москва: «Высшая школа», 1983 год.</w:t>
      </w:r>
    </w:p>
    <w:p w:rsidR="004B145A" w:rsidRDefault="004B145A">
      <w:pPr>
        <w:pStyle w:val="20"/>
        <w:numPr>
          <w:ilvl w:val="0"/>
          <w:numId w:val="2"/>
        </w:numPr>
        <w:spacing w:line="360" w:lineRule="auto"/>
        <w:ind w:left="1713" w:hanging="1004"/>
        <w:jc w:val="both"/>
      </w:pPr>
      <w:r>
        <w:t>«Группы здоровья», 2-ое издание, Рубцов А. Т., Москва: «Физкультура и спорт», 1984 год.</w:t>
      </w:r>
    </w:p>
    <w:sectPr w:rsidR="004B145A">
      <w:footerReference w:type="even" r:id="rId8"/>
      <w:footerReference w:type="default" r:id="rId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145A" w:rsidRDefault="004B145A">
      <w:r>
        <w:separator/>
      </w:r>
    </w:p>
  </w:endnote>
  <w:endnote w:type="continuationSeparator" w:id="0">
    <w:p w:rsidR="004B145A" w:rsidRDefault="004B14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CC"/>
    <w:family w:val="swiss"/>
    <w:pitch w:val="variable"/>
    <w:sig w:usb0="00000287" w:usb1="00000800" w:usb2="00000000" w:usb3="00000000" w:csb0="000000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45A" w:rsidRDefault="004B145A">
    <w:pPr>
      <w:pStyle w:val="a6"/>
      <w:framePr w:wrap="around" w:vAnchor="text" w:hAnchor="margin" w:xAlign="right" w:y="1"/>
      <w:rPr>
        <w:rStyle w:val="a7"/>
      </w:rPr>
    </w:pPr>
  </w:p>
  <w:p w:rsidR="004B145A" w:rsidRDefault="004B145A">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45A" w:rsidRDefault="00A55E2C">
    <w:pPr>
      <w:pStyle w:val="a6"/>
      <w:framePr w:wrap="around" w:vAnchor="text" w:hAnchor="page" w:x="9802" w:y="227"/>
      <w:rPr>
        <w:rStyle w:val="a7"/>
      </w:rPr>
    </w:pPr>
    <w:r>
      <w:rPr>
        <w:rStyle w:val="a7"/>
        <w:noProof/>
      </w:rPr>
      <w:t>2</w:t>
    </w:r>
  </w:p>
  <w:p w:rsidR="004B145A" w:rsidRDefault="004B145A">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145A" w:rsidRDefault="004B145A">
      <w:r>
        <w:separator/>
      </w:r>
    </w:p>
  </w:footnote>
  <w:footnote w:type="continuationSeparator" w:id="0">
    <w:p w:rsidR="004B145A" w:rsidRDefault="004B145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3468D1"/>
    <w:multiLevelType w:val="hybridMultilevel"/>
    <w:tmpl w:val="9AB811D8"/>
    <w:lvl w:ilvl="0" w:tplc="0840B83E">
      <w:start w:val="1"/>
      <w:numFmt w:val="decimal"/>
      <w:lvlText w:val="%1."/>
      <w:lvlJc w:val="left"/>
      <w:pPr>
        <w:tabs>
          <w:tab w:val="num" w:pos="1714"/>
        </w:tabs>
        <w:ind w:left="1714" w:hanging="1005"/>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
    <w:nsid w:val="2CDC2FDB"/>
    <w:multiLevelType w:val="hybridMultilevel"/>
    <w:tmpl w:val="35BA6EF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51D63814"/>
    <w:multiLevelType w:val="hybridMultilevel"/>
    <w:tmpl w:val="726C210E"/>
    <w:lvl w:ilvl="0" w:tplc="17E4ED12">
      <w:numFmt w:val="bullet"/>
      <w:lvlText w:val="-"/>
      <w:lvlJc w:val="left"/>
      <w:pPr>
        <w:tabs>
          <w:tab w:val="num" w:pos="1609"/>
        </w:tabs>
        <w:ind w:left="1609" w:hanging="900"/>
      </w:pPr>
      <w:rPr>
        <w:rFonts w:ascii="Times New Roman" w:eastAsia="Times New Roman" w:hAnsi="Times New Roman" w:cs="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55E2C"/>
    <w:rsid w:val="000B65E0"/>
    <w:rsid w:val="002726D4"/>
    <w:rsid w:val="004B145A"/>
    <w:rsid w:val="00A55E2C"/>
    <w:rsid w:val="00FC68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rFonts w:ascii="Arial Narrow" w:hAnsi="Arial Narrow"/>
      <w:b/>
      <w:bCs/>
      <w:sz w:val="28"/>
      <w:u w:val="single"/>
    </w:rPr>
  </w:style>
  <w:style w:type="paragraph" w:styleId="2">
    <w:name w:val="heading 2"/>
    <w:basedOn w:val="a"/>
    <w:next w:val="a"/>
    <w:qFormat/>
    <w:pPr>
      <w:keepNext/>
      <w:jc w:val="center"/>
      <w:outlineLvl w:val="1"/>
    </w:pPr>
    <w:rPr>
      <w:rFonts w:ascii="Arial Narrow" w:hAnsi="Arial Narrow"/>
      <w:sz w:val="32"/>
    </w:rPr>
  </w:style>
  <w:style w:type="paragraph" w:styleId="3">
    <w:name w:val="heading 3"/>
    <w:basedOn w:val="a"/>
    <w:next w:val="a"/>
    <w:qFormat/>
    <w:pPr>
      <w:keepNext/>
      <w:jc w:val="right"/>
      <w:outlineLvl w:val="2"/>
    </w:pPr>
    <w:rPr>
      <w:rFonts w:ascii="Arial Narrow" w:hAnsi="Arial Narrow"/>
      <w:sz w:val="28"/>
    </w:rPr>
  </w:style>
  <w:style w:type="paragraph" w:styleId="4">
    <w:name w:val="heading 4"/>
    <w:basedOn w:val="a"/>
    <w:next w:val="a"/>
    <w:qFormat/>
    <w:pPr>
      <w:keepNext/>
      <w:jc w:val="center"/>
      <w:outlineLvl w:val="3"/>
    </w:pPr>
    <w:rPr>
      <w:rFonts w:ascii="Arial Narrow" w:hAnsi="Arial Narrow"/>
      <w:sz w:val="28"/>
    </w:rPr>
  </w:style>
  <w:style w:type="paragraph" w:styleId="5">
    <w:name w:val="heading 5"/>
    <w:basedOn w:val="a"/>
    <w:next w:val="a"/>
    <w:qFormat/>
    <w:pPr>
      <w:keepNext/>
      <w:outlineLvl w:val="4"/>
    </w:pPr>
    <w:rPr>
      <w:rFonts w:ascii="Arial Narrow" w:hAnsi="Arial Narrow"/>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rFonts w:ascii="Arial Narrow" w:hAnsi="Arial Narrow"/>
      <w:sz w:val="28"/>
    </w:rPr>
  </w:style>
  <w:style w:type="paragraph" w:styleId="a4">
    <w:name w:val="Body Text"/>
    <w:basedOn w:val="a"/>
    <w:semiHidden/>
    <w:pPr>
      <w:jc w:val="center"/>
    </w:pPr>
    <w:rPr>
      <w:rFonts w:ascii="Arial Narrow" w:hAnsi="Arial Narrow"/>
      <w:sz w:val="32"/>
    </w:rPr>
  </w:style>
  <w:style w:type="paragraph" w:styleId="a5">
    <w:name w:val="Body Text Indent"/>
    <w:basedOn w:val="a"/>
    <w:semiHidden/>
    <w:pPr>
      <w:ind w:left="5940"/>
    </w:pPr>
    <w:rPr>
      <w:rFonts w:ascii="Arial Narrow" w:hAnsi="Arial Narrow"/>
    </w:rPr>
  </w:style>
  <w:style w:type="paragraph" w:styleId="a6">
    <w:name w:val="footer"/>
    <w:basedOn w:val="a"/>
    <w:semiHidden/>
    <w:pPr>
      <w:tabs>
        <w:tab w:val="center" w:pos="4677"/>
        <w:tab w:val="right" w:pos="9355"/>
      </w:tabs>
    </w:pPr>
  </w:style>
  <w:style w:type="character" w:styleId="a7">
    <w:name w:val="page number"/>
    <w:basedOn w:val="a0"/>
    <w:semiHidden/>
  </w:style>
  <w:style w:type="paragraph" w:styleId="20">
    <w:name w:val="Body Text Indent 2"/>
    <w:basedOn w:val="a"/>
    <w:semiHidden/>
    <w:pPr>
      <w:ind w:firstLine="709"/>
    </w:pPr>
    <w:rPr>
      <w:rFonts w:ascii="Arial Narrow" w:hAnsi="Arial Narrow"/>
      <w:sz w:val="28"/>
    </w:rPr>
  </w:style>
  <w:style w:type="paragraph" w:styleId="a8">
    <w:name w:val="header"/>
    <w:basedOn w:val="a"/>
    <w:semiHidden/>
    <w:pPr>
      <w:tabs>
        <w:tab w:val="center" w:pos="4677"/>
        <w:tab w:val="right" w:pos="9355"/>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1587</Words>
  <Characters>10622</Characters>
  <Application>Microsoft Office Word</Application>
  <DocSecurity>0</DocSecurity>
  <Lines>255</Lines>
  <Paragraphs>70</Paragraphs>
  <ScaleCrop>false</ScaleCrop>
  <HeadingPairs>
    <vt:vector size="2" baseType="variant">
      <vt:variant>
        <vt:lpstr>Название</vt:lpstr>
      </vt:variant>
      <vt:variant>
        <vt:i4>1</vt:i4>
      </vt:variant>
    </vt:vector>
  </HeadingPairs>
  <TitlesOfParts>
    <vt:vector size="1" baseType="lpstr">
      <vt:lpstr>Министерство РФ по связи и информатизации</vt:lpstr>
    </vt:vector>
  </TitlesOfParts>
  <Company/>
  <LinksUpToDate>false</LinksUpToDate>
  <CharactersWithSpaces>12175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РФ по связи и информатизации</dc:title>
  <dc:subject/>
  <dc:creator/>
  <cp:keywords/>
  <dc:description/>
  <cp:lastModifiedBy>Alex</cp:lastModifiedBy>
  <cp:revision>2</cp:revision>
  <dcterms:created xsi:type="dcterms:W3CDTF">2016-12-18T01:59:00Z</dcterms:created>
  <dcterms:modified xsi:type="dcterms:W3CDTF">2016-12-18T01:59:00Z</dcterms:modified>
</cp:coreProperties>
</file>